
<file path=[Content_Types].xml><?xml version="1.0" encoding="utf-8"?>
<Types xmlns="http://schemas.openxmlformats.org/package/2006/content-types">
  <Default Extension="fntdata" ContentType="application/x-fontdata"/>
  <Default Extension="jpeg" ContentType="image/jpeg"/>
  <Default Extension="png" ContentType="image/png"/>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header2.xml" ContentType="application/vnd.openxmlformats-officedocument.wordprocessingml.header+xml"/>
  <Override PartName="/word/header1.xml" ContentType="application/vnd.openxmlformats-officedocument.wordprocessingml.header+xml"/>
  <Override PartName="/word/footer1.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media/image6.tif" ContentType="image/tiff"/>
  <Override PartName="/word/document.xml" ContentType="application/vnd.openxmlformats-officedocument.wordprocessingml.document.main+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Title"/>
        <w:spacing w:before="120" w:after="240"/>
        <w:rPr>
          <w:rFonts w:ascii="Calibri" w:hAnsi="Calibri" w:cs="Calibri" w:asciiTheme="minorHAnsi" w:cstheme="minorHAnsi" w:hAnsiTheme="minorHAnsi"/>
          <w:color w:val="0070C0"/>
        </w:rPr>
      </w:pPr>
      <w:r>
        <w:rPr>
          <w:rFonts w:cs="Calibri" w:cstheme="minorHAnsi"/>
          <w:color w:val="0070C0"/>
        </w:rPr>
        <w:t>Use Cases for Multi-Domain MCP Scenarios</w:t>
      </w:r>
    </w:p>
    <w:p>
      <w:pPr>
        <w:pStyle w:val="Title"/>
        <w:jc w:val="start"/>
        <w:rPr>
          <w:rFonts w:ascii="Calibri" w:hAnsi="Calibri" w:cs="Calibri" w:asciiTheme="minorHAnsi" w:cstheme="minorHAnsi" w:hAnsiTheme="minorHAnsi"/>
          <w:color w:val="0070C0"/>
          <w:sz w:val="24"/>
          <w:szCs w:val="24"/>
          <w:lang w:eastAsia="ko-KR"/>
        </w:rPr>
      </w:pPr>
      <w:r>
        <w:rPr>
          <w:rFonts w:cs="Calibri" w:cstheme="minorHAnsi"/>
          <w:color w:val="0070C0"/>
          <w:sz w:val="24"/>
          <w:szCs w:val="24"/>
          <w:lang w:eastAsia="ko-KR"/>
        </w:rPr>
        <w:t>Document Revision</w:t>
      </w:r>
    </w:p>
    <w:tbl>
      <w:tblPr>
        <w:tblW w:w="8784" w:type="dxa"/>
        <w:jc w:val="start"/>
        <w:tblInd w:w="0" w:type="dxa"/>
        <w:tblLayout w:type="fixed"/>
        <w:tblCellMar>
          <w:top w:w="0" w:type="dxa"/>
          <w:start w:w="108" w:type="dxa"/>
          <w:bottom w:w="0" w:type="dxa"/>
          <w:end w:w="108" w:type="dxa"/>
        </w:tblCellMar>
        <w:tblLook w:val="04a0" w:noVBand="1" w:noHBand="0" w:lastColumn="0" w:firstColumn="1" w:lastRow="0" w:firstRow="1"/>
      </w:tblPr>
      <w:tblGrid>
        <w:gridCol w:w="988"/>
        <w:gridCol w:w="2125"/>
        <w:gridCol w:w="3970"/>
        <w:gridCol w:w="1701"/>
      </w:tblGrid>
      <w:tr>
        <w:trPr>
          <w:trHeight w:val="487" w:hRule="atLeast"/>
        </w:trPr>
        <w:tc>
          <w:tcPr>
            <w:tcW w:w="8784" w:type="dxa"/>
            <w:gridSpan w:val="4"/>
            <w:tcBorders>
              <w:top w:val="single" w:sz="4" w:space="0" w:color="000000"/>
              <w:start w:val="single" w:sz="4" w:space="0" w:color="000000"/>
              <w:bottom w:val="single" w:sz="4" w:space="0" w:color="000000"/>
              <w:end w:val="single" w:sz="4" w:space="0" w:color="000000"/>
            </w:tcBorders>
            <w:shd w:color="auto" w:fill="8DB3E2" w:val="clear"/>
          </w:tcPr>
          <w:p>
            <w:pPr>
              <w:pStyle w:val="Title"/>
              <w:widowControl w:val="false"/>
              <w:spacing w:before="120" w:after="240"/>
              <w:jc w:val="start"/>
              <w:rPr>
                <w:rFonts w:ascii="Calibri" w:hAnsi="Calibri" w:cs="Calibri" w:asciiTheme="minorHAnsi" w:cstheme="minorHAnsi" w:hAnsiTheme="minorHAnsi"/>
                <w:bCs w:val="false"/>
                <w:color w:val="FFFFFF"/>
                <w:kern w:val="0"/>
                <w:sz w:val="22"/>
                <w:szCs w:val="22"/>
                <w:lang w:eastAsia="ko-KR"/>
              </w:rPr>
            </w:pPr>
            <w:r>
              <w:rPr>
                <w:rFonts w:cs="Calibri" w:cstheme="minorHAnsi"/>
                <w:bCs w:val="false"/>
                <w:color w:val="FFFFFF"/>
                <w:kern w:val="0"/>
                <w:sz w:val="22"/>
                <w:szCs w:val="22"/>
                <w:lang w:eastAsia="ko-KR"/>
              </w:rPr>
              <w:t>ID: Use Cases for Multi-Domain MCP Scenarios</w:t>
            </w:r>
          </w:p>
        </w:tc>
      </w:tr>
      <w:tr>
        <w:trPr/>
        <w:tc>
          <w:tcPr>
            <w:tcW w:w="988" w:type="dxa"/>
            <w:tcBorders>
              <w:top w:val="single" w:sz="4" w:space="0" w:color="000000"/>
              <w:start w:val="single" w:sz="4" w:space="0" w:color="000000"/>
              <w:bottom w:val="single" w:sz="4" w:space="0" w:color="000000"/>
              <w:end w:val="single" w:sz="4" w:space="0" w:color="000000"/>
            </w:tcBorders>
            <w:shd w:color="auto" w:fill="8DB3E2" w:val="clear"/>
          </w:tcPr>
          <w:p>
            <w:pPr>
              <w:pStyle w:val="Title"/>
              <w:widowControl w:val="false"/>
              <w:spacing w:before="120" w:after="240"/>
              <w:jc w:val="start"/>
              <w:rPr>
                <w:rFonts w:ascii="Calibri" w:hAnsi="Calibri" w:cs="Calibri" w:asciiTheme="minorHAnsi" w:cstheme="minorHAnsi" w:hAnsiTheme="minorHAnsi"/>
                <w:bCs w:val="false"/>
                <w:color w:val="FFFFFF"/>
                <w:kern w:val="0"/>
                <w:sz w:val="22"/>
                <w:szCs w:val="22"/>
              </w:rPr>
            </w:pPr>
            <w:r>
              <w:rPr>
                <w:rFonts w:cs="Calibri" w:cstheme="minorHAnsi"/>
                <w:bCs w:val="false"/>
                <w:color w:val="FFFFFF"/>
                <w:kern w:val="0"/>
                <w:sz w:val="22"/>
                <w:szCs w:val="22"/>
              </w:rPr>
              <w:t>Version</w:t>
            </w:r>
          </w:p>
        </w:tc>
        <w:tc>
          <w:tcPr>
            <w:tcW w:w="2125" w:type="dxa"/>
            <w:tcBorders>
              <w:top w:val="single" w:sz="4" w:space="0" w:color="000000"/>
              <w:start w:val="single" w:sz="4" w:space="0" w:color="000000"/>
              <w:bottom w:val="single" w:sz="4" w:space="0" w:color="000000"/>
              <w:end w:val="single" w:sz="4" w:space="0" w:color="000000"/>
            </w:tcBorders>
            <w:shd w:color="auto" w:fill="8DB3E2" w:val="clear"/>
          </w:tcPr>
          <w:p>
            <w:pPr>
              <w:pStyle w:val="Title"/>
              <w:widowControl w:val="false"/>
              <w:spacing w:before="120" w:after="240"/>
              <w:jc w:val="start"/>
              <w:rPr>
                <w:rFonts w:ascii="Calibri" w:hAnsi="Calibri" w:cs="Calibri" w:asciiTheme="minorHAnsi" w:cstheme="minorHAnsi" w:hAnsiTheme="minorHAnsi"/>
                <w:bCs w:val="false"/>
                <w:color w:val="FFFFFF"/>
                <w:kern w:val="0"/>
                <w:sz w:val="22"/>
                <w:szCs w:val="22"/>
              </w:rPr>
            </w:pPr>
            <w:r>
              <w:rPr>
                <w:rFonts w:cs="Calibri" w:cstheme="minorHAnsi"/>
                <w:bCs w:val="false"/>
                <w:color w:val="FFFFFF"/>
                <w:kern w:val="0"/>
                <w:sz w:val="22"/>
                <w:szCs w:val="22"/>
              </w:rPr>
              <w:t>Author(s)</w:t>
            </w:r>
          </w:p>
        </w:tc>
        <w:tc>
          <w:tcPr>
            <w:tcW w:w="3970" w:type="dxa"/>
            <w:tcBorders>
              <w:top w:val="single" w:sz="4" w:space="0" w:color="000000"/>
              <w:start w:val="single" w:sz="4" w:space="0" w:color="000000"/>
              <w:bottom w:val="single" w:sz="4" w:space="0" w:color="000000"/>
              <w:end w:val="single" w:sz="4" w:space="0" w:color="000000"/>
            </w:tcBorders>
            <w:shd w:color="auto" w:fill="8DB3E2" w:val="clear"/>
          </w:tcPr>
          <w:p>
            <w:pPr>
              <w:pStyle w:val="Title"/>
              <w:widowControl w:val="false"/>
              <w:spacing w:before="120" w:after="240"/>
              <w:jc w:val="start"/>
              <w:rPr>
                <w:rFonts w:ascii="Calibri" w:hAnsi="Calibri" w:cs="Calibri" w:asciiTheme="minorHAnsi" w:cstheme="minorHAnsi" w:hAnsiTheme="minorHAnsi"/>
                <w:bCs w:val="false"/>
                <w:color w:val="FFFFFF"/>
                <w:kern w:val="0"/>
                <w:sz w:val="22"/>
                <w:szCs w:val="22"/>
              </w:rPr>
            </w:pPr>
            <w:r>
              <w:rPr>
                <w:rFonts w:cs="Calibri" w:cstheme="minorHAnsi"/>
                <w:bCs w:val="false"/>
                <w:color w:val="FFFFFF"/>
                <w:kern w:val="0"/>
                <w:sz w:val="22"/>
                <w:szCs w:val="22"/>
              </w:rPr>
              <w:t>Nature of change</w:t>
            </w:r>
          </w:p>
        </w:tc>
        <w:tc>
          <w:tcPr>
            <w:tcW w:w="1701" w:type="dxa"/>
            <w:tcBorders>
              <w:top w:val="single" w:sz="4" w:space="0" w:color="000000"/>
              <w:start w:val="single" w:sz="4" w:space="0" w:color="000000"/>
              <w:bottom w:val="single" w:sz="4" w:space="0" w:color="000000"/>
              <w:end w:val="single" w:sz="4" w:space="0" w:color="000000"/>
            </w:tcBorders>
            <w:shd w:color="auto" w:fill="8DB3E2" w:val="clear"/>
          </w:tcPr>
          <w:p>
            <w:pPr>
              <w:pStyle w:val="Title"/>
              <w:widowControl w:val="false"/>
              <w:spacing w:before="120" w:after="240"/>
              <w:jc w:val="start"/>
              <w:rPr>
                <w:rFonts w:ascii="Calibri" w:hAnsi="Calibri" w:cs="Calibri" w:asciiTheme="minorHAnsi" w:cstheme="minorHAnsi" w:hAnsiTheme="minorHAnsi"/>
                <w:color w:val="FFFFFF"/>
                <w:sz w:val="22"/>
                <w:szCs w:val="22"/>
              </w:rPr>
            </w:pPr>
            <w:r>
              <w:rPr>
                <w:rFonts w:cs="Calibri" w:cstheme="minorHAnsi"/>
                <w:bCs w:val="false"/>
                <w:color w:val="FFFFFF"/>
                <w:kern w:val="0"/>
                <w:sz w:val="22"/>
                <w:szCs w:val="22"/>
              </w:rPr>
              <w:t xml:space="preserve"> </w:t>
            </w:r>
            <w:r>
              <w:rPr>
                <w:rFonts w:cs="Calibri" w:cstheme="minorHAnsi"/>
                <w:bCs w:val="false"/>
                <w:color w:val="FFFFFF"/>
                <w:kern w:val="0"/>
                <w:sz w:val="22"/>
                <w:szCs w:val="22"/>
              </w:rPr>
              <w:t>Date of adoption</w:t>
            </w:r>
          </w:p>
        </w:tc>
      </w:tr>
      <w:tr>
        <w:trPr/>
        <w:tc>
          <w:tcPr>
            <w:tcW w:w="988" w:type="dxa"/>
            <w:tcBorders>
              <w:top w:val="single" w:sz="4" w:space="0" w:color="000000"/>
              <w:start w:val="single" w:sz="4" w:space="0" w:color="000000"/>
              <w:bottom w:val="single" w:sz="4" w:space="0" w:color="000000"/>
              <w:end w:val="single" w:sz="4" w:space="0" w:color="000000"/>
            </w:tcBorders>
          </w:tcPr>
          <w:p>
            <w:pPr>
              <w:pStyle w:val="BodyText"/>
              <w:widowControl w:val="false"/>
              <w:spacing w:before="0" w:after="120"/>
              <w:rPr>
                <w:rFonts w:ascii="Calibri" w:hAnsi="Calibri" w:cs="Calibri" w:asciiTheme="minorHAnsi" w:cstheme="minorHAnsi" w:hAnsiTheme="minorHAnsi"/>
              </w:rPr>
            </w:pPr>
            <w:r>
              <w:rPr>
                <w:rFonts w:cs="Calibri" w:cstheme="minorHAnsi"/>
              </w:rPr>
              <w:t>1.0</w:t>
            </w:r>
          </w:p>
        </w:tc>
        <w:tc>
          <w:tcPr>
            <w:tcW w:w="2125" w:type="dxa"/>
            <w:tcBorders>
              <w:top w:val="single" w:sz="4" w:space="0" w:color="000000"/>
              <w:start w:val="single" w:sz="4" w:space="0" w:color="000000"/>
              <w:bottom w:val="single" w:sz="4" w:space="0" w:color="000000"/>
              <w:end w:val="single" w:sz="4" w:space="0" w:color="000000"/>
            </w:tcBorders>
          </w:tcPr>
          <w:p>
            <w:pPr>
              <w:pStyle w:val="BodyText"/>
              <w:widowControl w:val="false"/>
              <w:spacing w:before="0" w:after="120"/>
              <w:rPr>
                <w:rFonts w:ascii="Calibri" w:hAnsi="Calibri" w:cs="Calibri" w:asciiTheme="minorHAnsi" w:cstheme="minorHAnsi" w:hAnsiTheme="minorHAnsi"/>
              </w:rPr>
            </w:pPr>
            <w:r>
              <w:rPr>
                <w:rFonts w:cs="Calibri" w:cstheme="minorHAnsi"/>
              </w:rPr>
              <w:t>Nikolaos Vastardis</w:t>
            </w:r>
          </w:p>
        </w:tc>
        <w:tc>
          <w:tcPr>
            <w:tcW w:w="3970" w:type="dxa"/>
            <w:tcBorders>
              <w:top w:val="single" w:sz="4" w:space="0" w:color="000000"/>
              <w:start w:val="single" w:sz="4" w:space="0" w:color="000000"/>
              <w:bottom w:val="single" w:sz="4" w:space="0" w:color="000000"/>
              <w:end w:val="single" w:sz="4" w:space="0" w:color="000000"/>
            </w:tcBorders>
          </w:tcPr>
          <w:p>
            <w:pPr>
              <w:pStyle w:val="BodyText"/>
              <w:widowControl w:val="false"/>
              <w:spacing w:before="0" w:after="120"/>
              <w:rPr>
                <w:rFonts w:ascii="Calibri" w:hAnsi="Calibri" w:cs="Calibri" w:asciiTheme="minorHAnsi" w:cstheme="minorHAnsi" w:hAnsiTheme="minorHAnsi"/>
              </w:rPr>
            </w:pPr>
            <w:r>
              <w:rPr>
                <w:rFonts w:cs="Calibri" w:cstheme="minorHAnsi"/>
              </w:rPr>
              <w:t>Initial version</w:t>
            </w:r>
          </w:p>
        </w:tc>
        <w:tc>
          <w:tcPr>
            <w:tcW w:w="1701" w:type="dxa"/>
            <w:tcBorders>
              <w:top w:val="single" w:sz="4" w:space="0" w:color="000000"/>
              <w:start w:val="single" w:sz="4" w:space="0" w:color="000000"/>
              <w:bottom w:val="single" w:sz="4" w:space="0" w:color="000000"/>
              <w:end w:val="single" w:sz="4" w:space="0" w:color="000000"/>
            </w:tcBorders>
          </w:tcPr>
          <w:p>
            <w:pPr>
              <w:pStyle w:val="BodyText"/>
              <w:widowControl w:val="false"/>
              <w:spacing w:before="0" w:after="120"/>
              <w:rPr>
                <w:rFonts w:ascii="Calibri" w:hAnsi="Calibri" w:cs="Calibri" w:asciiTheme="minorHAnsi" w:cstheme="minorHAnsi" w:hAnsiTheme="minorHAnsi"/>
              </w:rPr>
            </w:pPr>
            <w:r>
              <w:rPr>
                <w:rFonts w:cs="Calibri" w:cstheme="minorHAnsi"/>
              </w:rPr>
            </w:r>
          </w:p>
        </w:tc>
      </w:tr>
    </w:tbl>
    <w:p>
      <w:pPr>
        <w:pStyle w:val="Title"/>
        <w:rPr>
          <w:rFonts w:ascii="Calibri" w:hAnsi="Calibri" w:cs="Calibri" w:asciiTheme="minorHAnsi" w:cstheme="minorHAnsi" w:hAnsiTheme="minorHAnsi"/>
        </w:rPr>
      </w:pPr>
      <w:r>
        <w:rPr>
          <w:rFonts w:cs="Calibri" w:cstheme="minorHAnsi"/>
        </w:rPr>
        <w:t>Purpose</w:t>
      </w:r>
    </w:p>
    <w:p>
      <w:pPr>
        <w:pStyle w:val="Normal"/>
        <w:rPr>
          <w:lang w:eastAsia="de-DE"/>
        </w:rPr>
      </w:pPr>
      <w:r>
        <w:rPr>
          <w:lang w:eastAsia="de-DE"/>
        </w:rPr>
        <w:t xml:space="preserve">The way MCP instances interact with each other, as well as with their associated services, is crucial for the envisaged distributed MCP operation (as this is described in the IALA G1183 </w:t>
      </w:r>
      <w:sdt>
        <w:sdtPr>
          <w:citation/>
        </w:sdtPr>
        <w:sdtContent>
          <w:r>
            <w:rPr>
              <w:lang w:eastAsia="de-DE"/>
            </w:rPr>
            <w:fldChar w:fldCharType="begin"/>
          </w:r>
          <w:r>
            <w:rPr>
              <w:lang w:eastAsia="de-DE"/>
            </w:rPr>
            <w:instrText xml:space="preserve">CITATION IAL \l 2057 </w:instrText>
          </w:r>
          <w:r>
            <w:rPr>
              <w:lang w:eastAsia="de-DE"/>
            </w:rPr>
            <w:fldChar w:fldCharType="separate"/>
          </w:r>
          <w:r>
            <w:rPr>
              <w:lang w:eastAsia="de-DE"/>
            </w:rPr>
            <w:t>[1]</w:t>
          </w:r>
          <w:r>
            <w:rPr>
              <w:lang w:eastAsia="de-DE"/>
            </w:rPr>
            <w:fldChar w:fldCharType="end"/>
          </w:r>
        </w:sdtContent>
      </w:sdt>
      <w:r>
        <w:rPr>
          <w:lang w:eastAsia="de-DE"/>
        </w:rPr>
        <w:t xml:space="preserve"> </w:t>
      </w:r>
      <w:r>
        <w:rPr>
          <w:lang w:eastAsia="de-DE"/>
        </w:rPr>
        <w:t xml:space="preserve">and G1191 </w:t>
      </w:r>
      <w:sdt>
        <w:sdtPr>
          <w:citation/>
        </w:sdtPr>
        <w:sdtContent>
          <w:r>
            <w:rPr>
              <w:lang w:eastAsia="de-DE"/>
            </w:rPr>
            <w:fldChar w:fldCharType="begin"/>
          </w:r>
          <w:r>
            <w:rPr>
              <w:lang w:eastAsia="de-DE"/>
            </w:rPr>
            <w:instrText xml:space="preserve">CITATION IAL1 \l 2057 </w:instrText>
          </w:r>
          <w:r>
            <w:rPr>
              <w:lang w:eastAsia="de-DE"/>
            </w:rPr>
            <w:fldChar w:fldCharType="separate"/>
          </w:r>
          <w:r>
            <w:rPr>
              <w:lang w:eastAsia="de-DE"/>
            </w:rPr>
            <w:t>[2]</w:t>
          </w:r>
          <w:r>
            <w:rPr>
              <w:lang w:eastAsia="de-DE"/>
            </w:rPr>
            <w:fldChar w:fldCharType="end"/>
          </w:r>
        </w:sdtContent>
      </w:sdt>
      <w:r>
        <w:rPr>
          <w:lang w:eastAsia="de-DE"/>
        </w:rPr>
        <w:t xml:space="preserve"> guidelines</w:t>
      </w:r>
      <w:r>
        <w:rPr>
          <w:lang w:eastAsia="de-DE"/>
        </w:rPr>
        <w:t>). This document intends to support the discussion on the interoperability of multiple MCP instances, each facilitating its own authentication domain.</w:t>
      </w:r>
    </w:p>
    <w:p>
      <w:pPr>
        <w:pStyle w:val="Heading1"/>
        <w:rPr>
          <w:rFonts w:cs="Calibri" w:cstheme="minorHAnsi"/>
        </w:rPr>
      </w:pPr>
      <w:r>
        <w:rPr>
          <w:rFonts w:cs="Calibri" w:cstheme="minorHAnsi"/>
        </w:rPr>
        <w:t>Introduction</w:t>
      </w:r>
    </w:p>
    <w:p>
      <w:pPr>
        <w:pStyle w:val="Normal"/>
        <w:rPr/>
      </w:pPr>
      <w:r>
        <w:rPr/>
        <w:t xml:space="preserve">To facilitate the discussion on the interoperability of MCP instances, a list of use cases has been compiled in the following sections. To keep things simple, </w:t>
      </w:r>
      <w:r>
        <w:rPr/>
        <w:fldChar w:fldCharType="begin"/>
      </w:r>
      <w:r>
        <w:rPr/>
        <w:instrText xml:space="preserve"> REF _Ref207269834 \h </w:instrText>
      </w:r>
      <w:r>
        <w:rPr/>
        <w:fldChar w:fldCharType="separate"/>
      </w:r>
      <w:r>
        <w:rPr/>
        <w:t>Figure 1</w:t>
      </w:r>
      <w:r>
        <w:rPr/>
        <w:fldChar w:fldCharType="end"/>
      </w:r>
      <w:r>
        <w:rPr/>
        <w:t xml:space="preserve"> presents an overview of the generic multi-domain MCP environment, including the main actors involved. </w:t>
      </w:r>
    </w:p>
    <w:p>
      <w:pPr>
        <w:pStyle w:val="Normal"/>
        <w:keepNext w:val="true"/>
        <w:jc w:val="center"/>
        <w:rPr/>
      </w:pPr>
      <w:r>
        <w:rPr/>
        <w:drawing>
          <wp:inline distT="0" distB="0" distL="0" distR="0">
            <wp:extent cx="5591810" cy="3149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2"/>
                    <a:stretch>
                      <a:fillRect/>
                    </a:stretch>
                  </pic:blipFill>
                  <pic:spPr bwMode="auto">
                    <a:xfrm>
                      <a:off x="0" y="0"/>
                      <a:ext cx="5591810" cy="3149600"/>
                    </a:xfrm>
                    <a:prstGeom prst="rect">
                      <a:avLst/>
                    </a:prstGeom>
                    <a:noFill/>
                  </pic:spPr>
                </pic:pic>
              </a:graphicData>
            </a:graphic>
          </wp:inline>
        </w:drawing>
      </w:r>
    </w:p>
    <w:p>
      <w:pPr>
        <w:pStyle w:val="Caption"/>
        <w:jc w:val="center"/>
        <w:rPr/>
      </w:pPr>
      <w:bookmarkStart w:id="0" w:name="_Ref207269834"/>
      <w:r>
        <w:rPr/>
        <w:t xml:space="preserve">Figure </w:t>
      </w:r>
      <w:r>
        <w:rPr/>
        <w:fldChar w:fldCharType="begin"/>
      </w:r>
      <w:r>
        <w:rPr/>
        <w:instrText xml:space="preserve"> SEQ Figure \* ARABIC </w:instrText>
      </w:r>
      <w:r>
        <w:rPr/>
        <w:fldChar w:fldCharType="separate"/>
      </w:r>
      <w:r>
        <w:rPr/>
        <w:t>1</w:t>
      </w:r>
      <w:r>
        <w:rPr/>
        <w:fldChar w:fldCharType="end"/>
      </w:r>
      <w:bookmarkEnd w:id="0"/>
      <w:r>
        <w:rPr/>
        <w:t>: Overview of a generic environment with multiple MCP domains.</w:t>
      </w:r>
    </w:p>
    <w:p>
      <w:pPr>
        <w:pStyle w:val="Normal"/>
        <w:rPr/>
      </w:pPr>
      <w:bookmarkStart w:id="1" w:name="_Ref207267878"/>
      <w:r>
        <w:rPr/>
        <w:t xml:space="preserve">In scenario of </w:t>
      </w:r>
      <w:r>
        <w:rPr/>
        <w:fldChar w:fldCharType="begin"/>
      </w:r>
      <w:r>
        <w:rPr/>
        <w:instrText xml:space="preserve"> REF _Ref207269834 \h </w:instrText>
      </w:r>
      <w:r>
        <w:rPr/>
        <w:fldChar w:fldCharType="separate"/>
      </w:r>
      <w:r>
        <w:rPr/>
        <w:t>Figure 1</w:t>
      </w:r>
      <w:r>
        <w:rPr/>
        <w:fldChar w:fldCharType="end"/>
      </w:r>
      <w:r>
        <w:rPr/>
        <w:t xml:space="preserve"> we consider two MCP domains. Each domain has one user and one service, both associated with the same MCP instance. The overview of the environment does not display the internal components of each MCP instance (i.e. Identity Registry - MIR, Service Registry – MSR, Messaging Service – MMS), for the sake of clarity. We may however refer to them as actors, while describing the operations of each use case. Apart from that however, the involved MCP instances are seen as black boxes, providing the necessary functionality.</w:t>
      </w:r>
    </w:p>
    <w:p>
      <w:pPr>
        <w:pStyle w:val="Normal"/>
        <w:rPr/>
      </w:pPr>
      <w:r>
        <w:rPr/>
        <w:t xml:space="preserve">In the current context, two MCP domains are considered to be </w:t>
      </w:r>
      <w:r>
        <w:rPr>
          <w:b/>
          <w:bCs/>
        </w:rPr>
        <w:t>interconnected</w:t>
      </w:r>
      <w:r>
        <w:rPr/>
        <w:t>, when the actors from one domain, can contact and are permitted to interact with the actors of the other. This requires the root Certificate Authority (CA) certificates of each domain to be known and accepted by all actors in the other domain(s).</w:t>
      </w:r>
    </w:p>
    <w:p>
      <w:pPr>
        <w:pStyle w:val="Normal"/>
        <w:rPr/>
      </w:pPr>
      <w:r>
        <w:rPr/>
        <w:fldChar w:fldCharType="begin"/>
      </w:r>
      <w:r>
        <w:rPr/>
        <w:instrText xml:space="preserve"> REF _Ref207696025 \h </w:instrText>
      </w:r>
      <w:r>
        <w:rPr/>
        <w:fldChar w:fldCharType="separate"/>
      </w:r>
      <w:r>
        <w:rPr/>
        <w:t>Table 1</w:t>
      </w:r>
      <w:r>
        <w:rPr/>
        <w:fldChar w:fldCharType="end"/>
      </w:r>
      <w:r>
        <w:rPr/>
        <w:t xml:space="preserve"> </w:t>
      </w:r>
      <w:r>
        <w:rPr/>
        <w:t xml:space="preserve">provides a brief description of six different use cases, utilising the environment and actors present in </w:t>
      </w:r>
      <w:r>
        <w:rPr/>
        <w:fldChar w:fldCharType="begin"/>
      </w:r>
      <w:r>
        <w:rPr/>
        <w:instrText xml:space="preserve"> REF _Ref207269834 \h </w:instrText>
      </w:r>
      <w:r>
        <w:rPr/>
        <w:fldChar w:fldCharType="separate"/>
      </w:r>
      <w:r>
        <w:rPr/>
        <w:t>Figure 1</w:t>
      </w:r>
      <w:r>
        <w:rPr/>
        <w:fldChar w:fldCharType="end"/>
      </w:r>
      <w:r>
        <w:rPr/>
        <w:t xml:space="preserve">. The detailed information on each use case can be found in Section </w:t>
      </w:r>
      <w:r>
        <w:rPr/>
        <w:fldChar w:fldCharType="begin"/>
      </w:r>
      <w:r>
        <w:rPr/>
        <w:instrText xml:space="preserve"> REF _Ref207267906 \r \r \h </w:instrText>
      </w:r>
      <w:r>
        <w:rPr/>
        <w:fldChar w:fldCharType="separate"/>
      </w:r>
      <w:r>
        <w:rPr/>
        <w:t>Error: Reference source not found</w:t>
      </w:r>
      <w:r>
        <w:rPr/>
        <w:fldChar w:fldCharType="end"/>
      </w:r>
      <w:r>
        <w:rPr/>
        <w:t xml:space="preserve">. This is by no means an exhaustive list, but it represents the most important use cases that have been identified to date. </w:t>
      </w:r>
    </w:p>
    <w:p>
      <w:pPr>
        <w:pStyle w:val="Normal"/>
        <w:rPr/>
      </w:pPr>
      <w:r>
        <w:rPr/>
        <w:t>It should be noted that some use cases may already be included (in part or in full), within the process of other more complex use cases. However, if a use case has merit on its own, it is still be captured and presented independently.</w:t>
      </w:r>
    </w:p>
    <w:p>
      <w:pPr>
        <w:pStyle w:val="Caption"/>
        <w:keepNext w:val="true"/>
        <w:jc w:val="center"/>
        <w:rPr/>
      </w:pPr>
      <w:bookmarkStart w:id="2" w:name="_Ref207696025"/>
      <w:r>
        <w:rPr/>
        <w:t xml:space="preserve">Table </w:t>
      </w:r>
      <w:r>
        <w:rPr/>
        <w:fldChar w:fldCharType="begin"/>
      </w:r>
      <w:r>
        <w:rPr/>
        <w:instrText xml:space="preserve"> SEQ Table \* ARABIC </w:instrText>
      </w:r>
      <w:r>
        <w:rPr/>
        <w:fldChar w:fldCharType="separate"/>
      </w:r>
      <w:r>
        <w:rPr/>
        <w:t>1</w:t>
      </w:r>
      <w:r>
        <w:rPr/>
        <w:fldChar w:fldCharType="end"/>
      </w:r>
      <w:bookmarkEnd w:id="1"/>
      <w:bookmarkEnd w:id="2"/>
      <w:r>
        <w:rPr/>
        <w:t>: Use Case Overview</w:t>
      </w:r>
    </w:p>
    <w:tbl>
      <w:tblPr>
        <w:tblStyle w:val="GridTable4-Accent5"/>
        <w:tblW w:w="9067" w:type="dxa"/>
        <w:jc w:val="start"/>
        <w:tblInd w:w="0" w:type="dxa"/>
        <w:tblLayout w:type="fixed"/>
        <w:tblCellMar>
          <w:top w:w="0" w:type="dxa"/>
          <w:start w:w="108" w:type="dxa"/>
          <w:bottom w:w="0" w:type="dxa"/>
          <w:end w:w="108" w:type="dxa"/>
        </w:tblCellMar>
        <w:tblLook w:val="04a0" w:noVBand="1" w:noHBand="0" w:lastColumn="0" w:firstColumn="1" w:lastRow="0" w:firstRow="1"/>
      </w:tblPr>
      <w:tblGrid>
        <w:gridCol w:w="1410"/>
        <w:gridCol w:w="7657"/>
      </w:tblGrid>
      <w:tr>
        <w:trPr>
          <w:cnfStyle w:val="100000000000" w:firstRow="1" w:lastRow="0" w:firstColumn="0" w:lastColumn="0" w:oddVBand="0" w:evenVBand="0" w:oddHBand="0" w:evenHBand="0" w:firstRowFirstColumn="0" w:firstRowLastColumn="0" w:lastRowFirstColumn="0" w:lastRowLastColumn="0"/>
        </w:trPr>
        <w:tc>
          <w:tcPr>
            <w:tcW w:w="1410" w:type="dxa"/>
            <w:cnfStyle w:val="001000000000" w:firstRow="0" w:lastRow="0" w:firstColumn="1" w:lastColumn="0" w:oddVBand="0" w:evenVBand="0" w:oddHBand="0" w:evenHBand="0" w:firstRowFirstColumn="0" w:firstRowLastColumn="0" w:lastRowFirstColumn="0" w:lastRowLastColumn="0"/>
            <w:tcBorders>
              <w:top w:val="single" w:sz="4" w:space="0" w:color="5B9BD5"/>
              <w:start w:val="single" w:sz="4" w:space="0" w:color="5B9BD5"/>
              <w:bottom w:val="single" w:sz="4" w:space="0" w:color="5B9BD5"/>
              <w:end w:val="single" w:sz="4" w:space="0" w:color="5B9BD5"/>
            </w:tcBorders>
            <w:shd w:color="auto" w:fill="5B9BD5" w:themeFill="accent5" w:val="clear"/>
          </w:tcPr>
          <w:p>
            <w:pPr>
              <w:pStyle w:val="BodyText"/>
              <w:widowControl/>
              <w:suppressAutoHyphens w:val="true"/>
              <w:spacing w:before="0" w:after="120"/>
              <w:rPr>
                <w:rFonts w:ascii="Calibri" w:hAnsi="Calibri" w:cs="Calibri" w:asciiTheme="minorHAnsi" w:cstheme="minorHAnsi" w:hAnsiTheme="minorHAnsi"/>
                <w:szCs w:val="24"/>
                <w:lang w:eastAsia="de-DE"/>
              </w:rPr>
            </w:pPr>
            <w:r>
              <w:rPr>
                <w:rFonts w:eastAsia="Batang" w:cs="Calibri" w:cstheme="minorHAnsi"/>
                <w:b/>
                <w:bCs/>
                <w:color w:themeColor="background1" w:val="FFFFFF"/>
                <w:kern w:val="0"/>
                <w:szCs w:val="24"/>
                <w:lang w:val="en-GB" w:eastAsia="de-DE" w:bidi="ar-SA"/>
              </w:rPr>
              <w:t>Use Case</w:t>
            </w:r>
          </w:p>
        </w:tc>
        <w:tc>
          <w:tcPr>
            <w:tcW w:w="7657" w:type="dxa"/>
            <w:tcBorders>
              <w:top w:val="single" w:sz="4" w:space="0" w:color="5B9BD5"/>
              <w:start w:val="single" w:sz="4" w:space="0" w:color="5B9BD5"/>
              <w:bottom w:val="single" w:sz="4" w:space="0" w:color="5B9BD5"/>
              <w:end w:val="single" w:sz="4" w:space="0" w:color="5B9BD5"/>
            </w:tcBorders>
            <w:shd w:color="auto" w:fill="5B9BD5" w:themeFill="accent5" w:val="clear"/>
          </w:tcPr>
          <w:p>
            <w:pPr>
              <w:pStyle w:val="BodyText"/>
              <w:widowControl/>
              <w:suppressAutoHyphens w:val="true"/>
              <w:spacing w:before="0" w:after="120"/>
              <w:cnfStyle w:val="100000000000" w:firstRow="1" w:lastRow="0" w:firstColumn="0" w:lastColumn="0" w:oddVBand="0" w:evenVBand="0" w:oddHBand="0" w:evenHBand="0" w:firstRowFirstColumn="0" w:firstRowLastColumn="0" w:lastRowFirstColumn="0" w:lastRowLastColumn="0"/>
              <w:rPr>
                <w:rFonts w:ascii="Calibri" w:hAnsi="Calibri" w:cs="Calibri" w:asciiTheme="minorHAnsi" w:cstheme="minorHAnsi" w:hAnsiTheme="minorHAnsi"/>
                <w:szCs w:val="24"/>
                <w:lang w:eastAsia="de-DE"/>
              </w:rPr>
            </w:pPr>
            <w:r>
              <w:rPr>
                <w:rFonts w:eastAsia="Batang" w:cs="Calibri" w:cstheme="minorHAnsi"/>
                <w:b/>
                <w:bCs/>
                <w:color w:themeColor="background1" w:val="FFFFFF"/>
                <w:kern w:val="0"/>
                <w:szCs w:val="24"/>
                <w:lang w:val="en-GB" w:eastAsia="de-DE" w:bidi="ar-SA"/>
              </w:rPr>
              <w:t>Description</w:t>
            </w:r>
          </w:p>
        </w:tc>
      </w:tr>
      <w:tr>
        <w:trPr>
          <w:cnfStyle w:val="000000100000" w:firstRow="0" w:lastRow="0" w:firstColumn="0" w:lastColumn="0" w:oddVBand="0" w:evenVBand="0" w:oddHBand="1" w:evenHBand="0" w:firstRowFirstColumn="0" w:firstRowLastColumn="0" w:lastRowFirstColumn="0" w:lastRowLastColumn="0"/>
        </w:trPr>
        <w:tc>
          <w:tcPr>
            <w:tcW w:w="1410" w:type="dxa"/>
            <w:cnfStyle w:val="001000000000" w:firstRow="0" w:lastRow="0" w:firstColumn="1" w:lastColumn="0" w:oddVBand="0" w:evenVBand="0" w:oddHBand="0" w:evenHBand="0" w:firstRowFirstColumn="0" w:firstRowLastColumn="0" w:lastRowFirstColumn="0" w:lastRowLastColumn="0"/>
            <w:tcBorders/>
            <w:shd w:color="auto" w:fill="DEEAF6" w:themeFill="accent5" w:themeFillTint="33" w:val="clear"/>
          </w:tcPr>
          <w:p>
            <w:pPr>
              <w:pStyle w:val="Normal"/>
              <w:widowControl/>
              <w:suppressAutoHyphens w:val="true"/>
              <w:overflowPunct w:val="true"/>
              <w:spacing w:lineRule="auto" w:line="276" w:before="120" w:after="120"/>
              <w:jc w:val="start"/>
              <w:rPr>
                <w:rFonts w:ascii="Calibri" w:hAnsi="Calibri" w:eastAsia="Times New Roman" w:cs="Calibri" w:asciiTheme="minorHAnsi" w:cstheme="minorHAnsi" w:hAnsiTheme="minorHAnsi"/>
                <w:szCs w:val="24"/>
                <w:lang w:val="en-AU" w:eastAsia="en-AU"/>
              </w:rPr>
            </w:pPr>
            <w:r>
              <w:rPr>
                <w:rFonts w:eastAsia="Times New Roman" w:cs="Calibri" w:cstheme="minorHAnsi"/>
                <w:b/>
                <w:bCs/>
                <w:kern w:val="0"/>
                <w:szCs w:val="24"/>
                <w:lang w:val="en-AU" w:eastAsia="en-AU" w:bidi="ar-SA"/>
              </w:rPr>
              <w:t>Use-Case A</w:t>
            </w:r>
          </w:p>
        </w:tc>
        <w:tc>
          <w:tcPr>
            <w:tcW w:w="7657" w:type="dxa"/>
            <w:tcBorders/>
            <w:shd w:color="auto" w:fill="DEEAF6" w:themeFill="accent5" w:themeFillTint="33" w:val="clear"/>
          </w:tcPr>
          <w:p>
            <w:pPr>
              <w:pStyle w:val="Normal"/>
              <w:widowControl/>
              <w:suppressAutoHyphens w:val="true"/>
              <w:overflowPunct w:val="true"/>
              <w:spacing w:lineRule="auto" w:line="276" w:before="120" w:after="120"/>
              <w:jc w:val="start"/>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asciiTheme="minorHAnsi" w:cstheme="minorHAnsi" w:hAnsiTheme="minorHAnsi"/>
                <w:szCs w:val="24"/>
                <w:lang w:val="en-AU" w:eastAsia="en-AU"/>
              </w:rPr>
            </w:pPr>
            <w:r>
              <w:rPr>
                <w:rFonts w:eastAsia="Times New Roman" w:cs="Calibri" w:cstheme="minorHAnsi"/>
                <w:kern w:val="0"/>
                <w:szCs w:val="24"/>
                <w:lang w:val="en-AU" w:eastAsia="en-AU" w:bidi="ar-SA"/>
              </w:rPr>
              <w:t xml:space="preserve">A user from an MCP domain wants to discover and use a technical service registered in a </w:t>
            </w:r>
            <w:r>
              <w:rPr>
                <w:rFonts w:eastAsia="Batang" w:cs="Calibri" w:cstheme="minorHAnsi"/>
                <w:kern w:val="0"/>
                <w:lang w:val="en-GB" w:eastAsia="en-GB" w:bidi="ar-SA"/>
              </w:rPr>
              <w:t>different</w:t>
            </w:r>
            <w:r>
              <w:rPr>
                <w:rFonts w:eastAsia="Times New Roman" w:cs="Calibri" w:cstheme="minorHAnsi"/>
                <w:kern w:val="0"/>
                <w:szCs w:val="24"/>
                <w:lang w:val="en-AU" w:eastAsia="en-AU" w:bidi="ar-SA"/>
              </w:rPr>
              <w:t xml:space="preserve"> domain.</w:t>
            </w:r>
          </w:p>
        </w:tc>
      </w:tr>
      <w:tr>
        <w:trPr/>
        <w:tc>
          <w:tcPr>
            <w:tcW w:w="1410" w:type="dxa"/>
            <w:cnfStyle w:val="001000000000" w:firstRow="0" w:lastRow="0" w:firstColumn="1" w:lastColumn="0" w:oddVBand="0" w:evenVBand="0" w:oddHBand="0" w:evenHBand="0" w:firstRowFirstColumn="0" w:firstRowLastColumn="0" w:lastRowFirstColumn="0" w:lastRowLastColumn="0"/>
            <w:tcBorders/>
          </w:tcPr>
          <w:p>
            <w:pPr>
              <w:pStyle w:val="Normal"/>
              <w:widowControl/>
              <w:suppressAutoHyphens w:val="true"/>
              <w:overflowPunct w:val="true"/>
              <w:spacing w:lineRule="auto" w:line="276" w:before="120" w:after="120"/>
              <w:jc w:val="start"/>
              <w:rPr>
                <w:rFonts w:ascii="Calibri" w:hAnsi="Calibri" w:eastAsia="Times New Roman" w:cs="Calibri" w:asciiTheme="minorHAnsi" w:cstheme="minorHAnsi" w:hAnsiTheme="minorHAnsi"/>
                <w:szCs w:val="24"/>
                <w:lang w:val="en-AU" w:eastAsia="en-AU"/>
              </w:rPr>
            </w:pPr>
            <w:r>
              <w:rPr>
                <w:rFonts w:eastAsia="Times New Roman" w:cs="Calibri" w:cstheme="minorHAnsi"/>
                <w:b/>
                <w:bCs/>
                <w:kern w:val="0"/>
                <w:szCs w:val="24"/>
                <w:lang w:val="en-AU" w:eastAsia="en-AU" w:bidi="ar-SA"/>
              </w:rPr>
              <w:t>Use-Case B</w:t>
            </w:r>
          </w:p>
        </w:tc>
        <w:tc>
          <w:tcPr>
            <w:tcW w:w="7657" w:type="dxa"/>
            <w:tcBorders/>
          </w:tcPr>
          <w:p>
            <w:pPr>
              <w:pStyle w:val="Normal"/>
              <w:widowControl/>
              <w:suppressAutoHyphens w:val="true"/>
              <w:overflowPunct w:val="true"/>
              <w:spacing w:lineRule="auto" w:line="276" w:before="120" w:after="120"/>
              <w:jc w:val="start"/>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asciiTheme="minorHAnsi" w:cstheme="minorHAnsi" w:hAnsiTheme="minorHAnsi"/>
                <w:szCs w:val="24"/>
                <w:lang w:val="en-AU" w:eastAsia="en-AU"/>
              </w:rPr>
            </w:pPr>
            <w:r>
              <w:rPr>
                <w:rFonts w:eastAsia="Times New Roman" w:cs="Calibri" w:cstheme="minorHAnsi"/>
                <w:kern w:val="0"/>
                <w:szCs w:val="24"/>
                <w:lang w:val="en-AU" w:eastAsia="en-AU" w:bidi="ar-SA"/>
              </w:rPr>
              <w:t xml:space="preserve">A consumer from an MCP domain wants to access data from a technical service registered in a </w:t>
            </w:r>
            <w:r>
              <w:rPr>
                <w:rFonts w:eastAsia="Batang" w:cs="Calibri" w:cstheme="minorHAnsi"/>
                <w:kern w:val="0"/>
                <w:lang w:val="en-GB" w:eastAsia="en-GB" w:bidi="ar-SA"/>
              </w:rPr>
              <w:t>different</w:t>
            </w:r>
            <w:r>
              <w:rPr>
                <w:rFonts w:eastAsia="Times New Roman" w:cs="Calibri" w:cstheme="minorHAnsi"/>
                <w:kern w:val="0"/>
                <w:szCs w:val="24"/>
                <w:lang w:val="en-AU" w:eastAsia="en-AU" w:bidi="ar-SA"/>
              </w:rPr>
              <w:t xml:space="preserve"> domain. </w:t>
            </w:r>
          </w:p>
        </w:tc>
      </w:tr>
      <w:tr>
        <w:trPr>
          <w:cnfStyle w:val="000000100000" w:firstRow="0" w:lastRow="0" w:firstColumn="0" w:lastColumn="0" w:oddVBand="0" w:evenVBand="0" w:oddHBand="1" w:evenHBand="0" w:firstRowFirstColumn="0" w:firstRowLastColumn="0" w:lastRowFirstColumn="0" w:lastRowLastColumn="0"/>
        </w:trPr>
        <w:tc>
          <w:tcPr>
            <w:tcW w:w="1410" w:type="dxa"/>
            <w:cnfStyle w:val="001000000000" w:firstRow="0" w:lastRow="0" w:firstColumn="1" w:lastColumn="0" w:oddVBand="0" w:evenVBand="0" w:oddHBand="0" w:evenHBand="0" w:firstRowFirstColumn="0" w:firstRowLastColumn="0" w:lastRowFirstColumn="0" w:lastRowLastColumn="0"/>
            <w:tcBorders/>
            <w:shd w:color="auto" w:fill="DEEAF6" w:themeFill="accent5" w:themeFillTint="33" w:val="clear"/>
          </w:tcPr>
          <w:p>
            <w:pPr>
              <w:pStyle w:val="Normal"/>
              <w:widowControl/>
              <w:suppressAutoHyphens w:val="true"/>
              <w:overflowPunct w:val="true"/>
              <w:spacing w:lineRule="auto" w:line="276" w:before="120" w:after="120"/>
              <w:jc w:val="start"/>
              <w:rPr>
                <w:rFonts w:ascii="Calibri" w:hAnsi="Calibri" w:eastAsia="Times New Roman" w:cs="Calibri" w:asciiTheme="minorHAnsi" w:cstheme="minorHAnsi" w:hAnsiTheme="minorHAnsi"/>
                <w:szCs w:val="24"/>
                <w:lang w:val="en-AU" w:eastAsia="en-AU"/>
              </w:rPr>
            </w:pPr>
            <w:r>
              <w:rPr>
                <w:rFonts w:eastAsia="Times New Roman" w:cs="Calibri" w:cstheme="minorHAnsi"/>
                <w:b/>
                <w:bCs/>
                <w:kern w:val="0"/>
                <w:szCs w:val="24"/>
                <w:lang w:val="en-AU" w:eastAsia="en-AU" w:bidi="ar-SA"/>
              </w:rPr>
              <w:t>Use-Case C</w:t>
            </w:r>
          </w:p>
        </w:tc>
        <w:tc>
          <w:tcPr>
            <w:tcW w:w="7657" w:type="dxa"/>
            <w:tcBorders/>
            <w:shd w:color="auto" w:fill="DEEAF6" w:themeFill="accent5" w:themeFillTint="33" w:val="clear"/>
          </w:tcPr>
          <w:p>
            <w:pPr>
              <w:pStyle w:val="Normal"/>
              <w:widowControl/>
              <w:suppressAutoHyphens w:val="true"/>
              <w:overflowPunct w:val="true"/>
              <w:spacing w:lineRule="auto" w:line="276" w:before="120" w:after="120"/>
              <w:jc w:val="start"/>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asciiTheme="minorHAnsi" w:cstheme="minorHAnsi" w:hAnsiTheme="minorHAnsi"/>
                <w:szCs w:val="24"/>
                <w:lang w:val="en-AU" w:eastAsia="en-AU"/>
              </w:rPr>
            </w:pPr>
            <w:r>
              <w:rPr>
                <w:rFonts w:eastAsia="Times New Roman" w:cs="Calibri" w:cstheme="minorHAnsi"/>
                <w:kern w:val="0"/>
                <w:szCs w:val="24"/>
                <w:lang w:val="en-AU" w:eastAsia="en-AU" w:bidi="ar-SA"/>
              </w:rPr>
              <w:t xml:space="preserve">A technical service from an MCP domain wants to validate the identity of a consumer registered in a </w:t>
            </w:r>
            <w:r>
              <w:rPr>
                <w:rFonts w:eastAsia="Batang" w:cs="Calibri" w:cstheme="minorHAnsi"/>
                <w:kern w:val="0"/>
                <w:lang w:val="en-GB" w:eastAsia="en-GB" w:bidi="ar-SA"/>
              </w:rPr>
              <w:t>different</w:t>
            </w:r>
            <w:r>
              <w:rPr>
                <w:rFonts w:eastAsia="Times New Roman" w:cs="Calibri" w:cstheme="minorHAnsi"/>
                <w:kern w:val="0"/>
                <w:szCs w:val="24"/>
                <w:lang w:val="en-AU" w:eastAsia="en-AU" w:bidi="ar-SA"/>
              </w:rPr>
              <w:t xml:space="preserve"> domain.</w:t>
            </w:r>
          </w:p>
        </w:tc>
      </w:tr>
      <w:tr>
        <w:trPr/>
        <w:tc>
          <w:tcPr>
            <w:tcW w:w="1410" w:type="dxa"/>
            <w:cnfStyle w:val="001000000000" w:firstRow="0" w:lastRow="0" w:firstColumn="1" w:lastColumn="0" w:oddVBand="0" w:evenVBand="0" w:oddHBand="0" w:evenHBand="0" w:firstRowFirstColumn="0" w:firstRowLastColumn="0" w:lastRowFirstColumn="0" w:lastRowLastColumn="0"/>
            <w:tcBorders/>
          </w:tcPr>
          <w:p>
            <w:pPr>
              <w:pStyle w:val="Normal"/>
              <w:widowControl/>
              <w:suppressAutoHyphens w:val="true"/>
              <w:overflowPunct w:val="true"/>
              <w:spacing w:lineRule="auto" w:line="276" w:before="120" w:after="120"/>
              <w:jc w:val="start"/>
              <w:rPr>
                <w:rFonts w:ascii="Calibri" w:hAnsi="Calibri" w:eastAsia="Times New Roman" w:cs="Calibri" w:asciiTheme="minorHAnsi" w:cstheme="minorHAnsi" w:hAnsiTheme="minorHAnsi"/>
                <w:szCs w:val="24"/>
                <w:lang w:val="en-AU" w:eastAsia="en-AU"/>
              </w:rPr>
            </w:pPr>
            <w:r>
              <w:rPr>
                <w:rFonts w:eastAsia="Times New Roman" w:cs="Calibri" w:cstheme="minorHAnsi"/>
                <w:b/>
                <w:bCs/>
                <w:kern w:val="0"/>
                <w:szCs w:val="24"/>
                <w:lang w:val="en-AU" w:eastAsia="en-AU" w:bidi="ar-SA"/>
              </w:rPr>
              <w:t>Use-Case D</w:t>
            </w:r>
          </w:p>
        </w:tc>
        <w:tc>
          <w:tcPr>
            <w:tcW w:w="7657" w:type="dxa"/>
            <w:tcBorders/>
          </w:tcPr>
          <w:p>
            <w:pPr>
              <w:pStyle w:val="Normal"/>
              <w:widowControl/>
              <w:suppressAutoHyphens w:val="true"/>
              <w:overflowPunct w:val="true"/>
              <w:spacing w:lineRule="auto" w:line="276" w:before="120" w:after="120"/>
              <w:jc w:val="start"/>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asciiTheme="minorHAnsi" w:cstheme="minorHAnsi" w:hAnsiTheme="minorHAnsi"/>
                <w:szCs w:val="24"/>
                <w:lang w:val="en-AU" w:eastAsia="en-AU"/>
              </w:rPr>
            </w:pPr>
            <w:r>
              <w:rPr>
                <w:rFonts w:eastAsia="Times New Roman" w:cs="Calibri" w:cstheme="minorHAnsi"/>
                <w:kern w:val="0"/>
                <w:szCs w:val="24"/>
                <w:lang w:val="en-AU" w:eastAsia="en-AU" w:bidi="ar-SA"/>
              </w:rPr>
              <w:t xml:space="preserve">A consumer from an MCP domain wants to validate the identity of a technical service registered in a </w:t>
            </w:r>
            <w:r>
              <w:rPr>
                <w:rFonts w:eastAsia="Batang" w:cs="Calibri" w:cstheme="minorHAnsi"/>
                <w:kern w:val="0"/>
                <w:lang w:val="en-GB" w:eastAsia="en-GB" w:bidi="ar-SA"/>
              </w:rPr>
              <w:t>different</w:t>
            </w:r>
            <w:r>
              <w:rPr>
                <w:rFonts w:eastAsia="Times New Roman" w:cs="Calibri" w:cstheme="minorHAnsi"/>
                <w:kern w:val="0"/>
                <w:szCs w:val="24"/>
                <w:lang w:val="en-AU" w:eastAsia="en-AU" w:bidi="ar-SA"/>
              </w:rPr>
              <w:t xml:space="preserve"> domain.</w:t>
            </w:r>
          </w:p>
        </w:tc>
      </w:tr>
      <w:tr>
        <w:trPr>
          <w:cnfStyle w:val="000000100000" w:firstRow="0" w:lastRow="0" w:firstColumn="0" w:lastColumn="0" w:oddVBand="0" w:evenVBand="0" w:oddHBand="1" w:evenHBand="0" w:firstRowFirstColumn="0" w:firstRowLastColumn="0" w:lastRowFirstColumn="0" w:lastRowLastColumn="0"/>
        </w:trPr>
        <w:tc>
          <w:tcPr>
            <w:tcW w:w="1410" w:type="dxa"/>
            <w:cnfStyle w:val="001000000000" w:firstRow="0" w:lastRow="0" w:firstColumn="1" w:lastColumn="0" w:oddVBand="0" w:evenVBand="0" w:oddHBand="0" w:evenHBand="0" w:firstRowFirstColumn="0" w:firstRowLastColumn="0" w:lastRowFirstColumn="0" w:lastRowLastColumn="0"/>
            <w:tcBorders/>
            <w:shd w:color="auto" w:fill="DEEAF6" w:themeFill="accent5" w:themeFillTint="33" w:val="clear"/>
          </w:tcPr>
          <w:p>
            <w:pPr>
              <w:pStyle w:val="Normal"/>
              <w:widowControl/>
              <w:suppressAutoHyphens w:val="true"/>
              <w:overflowPunct w:val="true"/>
              <w:spacing w:lineRule="auto" w:line="276" w:before="120" w:after="120"/>
              <w:jc w:val="start"/>
              <w:rPr>
                <w:rFonts w:ascii="Calibri" w:hAnsi="Calibri" w:eastAsia="Times New Roman" w:cs="Calibri" w:asciiTheme="minorHAnsi" w:cstheme="minorHAnsi" w:hAnsiTheme="minorHAnsi"/>
                <w:b w:val="false"/>
                <w:bCs w:val="false"/>
                <w:szCs w:val="24"/>
                <w:lang w:val="en-AU" w:eastAsia="en-AU"/>
              </w:rPr>
            </w:pPr>
            <w:r>
              <w:rPr>
                <w:rFonts w:eastAsia="Times New Roman" w:cs="Calibri" w:cstheme="minorHAnsi"/>
                <w:b/>
                <w:bCs/>
                <w:kern w:val="0"/>
                <w:szCs w:val="24"/>
                <w:lang w:val="en-AU" w:eastAsia="en-AU" w:bidi="ar-SA"/>
              </w:rPr>
              <w:t>Use-Case E</w:t>
            </w:r>
          </w:p>
        </w:tc>
        <w:tc>
          <w:tcPr>
            <w:tcW w:w="7657" w:type="dxa"/>
            <w:tcBorders/>
            <w:shd w:color="auto" w:fill="DEEAF6" w:themeFill="accent5" w:themeFillTint="33" w:val="clear"/>
          </w:tcPr>
          <w:p>
            <w:pPr>
              <w:pStyle w:val="Normal"/>
              <w:widowControl/>
              <w:suppressAutoHyphens w:val="true"/>
              <w:overflowPunct w:val="true"/>
              <w:spacing w:lineRule="auto" w:line="276" w:before="120" w:after="120"/>
              <w:jc w:val="start"/>
              <w:cnfStyle w:val="000000100000" w:firstRow="0" w:lastRow="0" w:firstColumn="0" w:lastColumn="0" w:oddVBand="0" w:evenVBand="0" w:oddHBand="1" w:evenHBand="0" w:firstRowFirstColumn="0" w:firstRowLastColumn="0" w:lastRowFirstColumn="0" w:lastRowLastColumn="0"/>
              <w:rPr>
                <w:rFonts w:ascii="Calibri" w:hAnsi="Calibri" w:eastAsia="Times New Roman" w:cs="Calibri" w:asciiTheme="minorHAnsi" w:cstheme="minorHAnsi" w:hAnsiTheme="minorHAnsi"/>
                <w:szCs w:val="24"/>
                <w:lang w:val="en-AU" w:eastAsia="en-AU"/>
              </w:rPr>
            </w:pPr>
            <w:r>
              <w:rPr>
                <w:rFonts w:eastAsia="Times New Roman" w:cs="Calibri" w:cstheme="minorHAnsi"/>
                <w:kern w:val="0"/>
                <w:szCs w:val="24"/>
                <w:lang w:val="en-AU" w:eastAsia="en-AU" w:bidi="ar-SA"/>
              </w:rPr>
              <w:t xml:space="preserve">A consumer from an MCP domain wants to subscribe to data from a technical service in a </w:t>
            </w:r>
            <w:r>
              <w:rPr>
                <w:rFonts w:eastAsia="Batang" w:cs="Calibri" w:cstheme="minorHAnsi"/>
                <w:kern w:val="0"/>
                <w:lang w:val="en-GB" w:eastAsia="en-GB" w:bidi="ar-SA"/>
              </w:rPr>
              <w:t xml:space="preserve">different </w:t>
            </w:r>
            <w:r>
              <w:rPr>
                <w:rFonts w:eastAsia="Times New Roman" w:cs="Calibri" w:cstheme="minorHAnsi"/>
                <w:kern w:val="0"/>
                <w:szCs w:val="24"/>
                <w:lang w:val="en-AU" w:eastAsia="en-AU" w:bidi="ar-SA"/>
              </w:rPr>
              <w:t>domain.</w:t>
            </w:r>
          </w:p>
        </w:tc>
      </w:tr>
      <w:tr>
        <w:trPr/>
        <w:tc>
          <w:tcPr>
            <w:tcW w:w="1410" w:type="dxa"/>
            <w:cnfStyle w:val="001000000000" w:firstRow="0" w:lastRow="0" w:firstColumn="1" w:lastColumn="0" w:oddVBand="0" w:evenVBand="0" w:oddHBand="0" w:evenHBand="0" w:firstRowFirstColumn="0" w:firstRowLastColumn="0" w:lastRowFirstColumn="0" w:lastRowLastColumn="0"/>
            <w:tcBorders/>
          </w:tcPr>
          <w:p>
            <w:pPr>
              <w:pStyle w:val="Normal"/>
              <w:widowControl/>
              <w:suppressAutoHyphens w:val="true"/>
              <w:overflowPunct w:val="true"/>
              <w:spacing w:lineRule="auto" w:line="276" w:before="120" w:after="120"/>
              <w:jc w:val="start"/>
              <w:rPr>
                <w:rFonts w:ascii="Calibri" w:hAnsi="Calibri" w:eastAsia="Times New Roman" w:cs="Calibri" w:asciiTheme="minorHAnsi" w:cstheme="minorHAnsi" w:hAnsiTheme="minorHAnsi"/>
                <w:szCs w:val="24"/>
                <w:lang w:val="en-AU" w:eastAsia="en-AU"/>
              </w:rPr>
            </w:pPr>
            <w:r>
              <w:rPr>
                <w:rFonts w:eastAsia="Times New Roman" w:cs="Calibri" w:cstheme="minorHAnsi"/>
                <w:b/>
                <w:bCs/>
                <w:kern w:val="0"/>
                <w:szCs w:val="24"/>
                <w:lang w:val="en-AU" w:eastAsia="en-AU" w:bidi="ar-SA"/>
              </w:rPr>
              <w:t>Use-Case F</w:t>
            </w:r>
          </w:p>
        </w:tc>
        <w:tc>
          <w:tcPr>
            <w:tcW w:w="7657" w:type="dxa"/>
            <w:tcBorders/>
          </w:tcPr>
          <w:p>
            <w:pPr>
              <w:pStyle w:val="Normal"/>
              <w:widowControl/>
              <w:suppressAutoHyphens w:val="true"/>
              <w:overflowPunct w:val="true"/>
              <w:spacing w:lineRule="auto" w:line="276" w:before="120" w:after="120"/>
              <w:jc w:val="start"/>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asciiTheme="minorHAnsi" w:cstheme="minorHAnsi" w:hAnsiTheme="minorHAnsi"/>
                <w:szCs w:val="24"/>
                <w:lang w:val="en-AU" w:eastAsia="en-AU"/>
              </w:rPr>
            </w:pPr>
            <w:r>
              <w:rPr>
                <w:rFonts w:eastAsia="Times New Roman" w:cs="Calibri" w:cstheme="minorHAnsi"/>
                <w:kern w:val="0"/>
                <w:szCs w:val="24"/>
                <w:lang w:val="en-AU" w:eastAsia="en-AU" w:bidi="ar-SA"/>
              </w:rPr>
              <w:t xml:space="preserve">A technical service from an MCP domain wants to send data to a consumer from a </w:t>
            </w:r>
            <w:r>
              <w:rPr>
                <w:rFonts w:eastAsia="Batang" w:cs="Calibri" w:cstheme="minorHAnsi"/>
                <w:kern w:val="0"/>
                <w:lang w:val="en-GB" w:eastAsia="en-GB" w:bidi="ar-SA"/>
              </w:rPr>
              <w:t>different</w:t>
            </w:r>
            <w:r>
              <w:rPr>
                <w:rFonts w:eastAsia="Times New Roman" w:cs="Calibri" w:cstheme="minorHAnsi"/>
                <w:kern w:val="0"/>
                <w:szCs w:val="24"/>
                <w:lang w:val="en-AU" w:eastAsia="en-AU" w:bidi="ar-SA"/>
              </w:rPr>
              <w:t xml:space="preserve"> MCP domain.</w:t>
            </w:r>
          </w:p>
        </w:tc>
      </w:tr>
    </w:tbl>
    <w:p>
      <w:pPr>
        <w:pStyle w:val="Normal"/>
        <w:rPr/>
      </w:pPr>
      <w:r>
        <w:rPr/>
        <w:t xml:space="preserve">All digital communications in the aforementioned use cases are assumed to take place over IP, using SSL/TLS encryption (e.g. over HTTPS). This is made possible by employing security certificates of public internet CAs. These are not to be confused with the MCP certificates and MCP CAs. MCP certificates, issued by MCP instances (acting as CAs), are used solely in the context of MCP interactions, in order to verify the validity of requests themselves (including the maritime data transmissions), as per IALA G1183 </w:t>
      </w:r>
      <w:sdt>
        <w:sdtPr>
          <w:citation/>
        </w:sdtPr>
        <w:sdtContent>
          <w:r>
            <w:rPr/>
            <w:fldChar w:fldCharType="begin"/>
          </w:r>
          <w:r>
            <w:rPr/>
            <w:instrText xml:space="preserve"> CITATION IAL \l 2057 </w:instrText>
          </w:r>
          <w:r>
            <w:rPr/>
            <w:fldChar w:fldCharType="separate"/>
          </w:r>
          <w:r>
            <w:rPr/>
            <w:t>[1]</w:t>
          </w:r>
          <w:r>
            <w:rPr/>
            <w:fldChar w:fldCharType="end"/>
          </w:r>
        </w:sdtContent>
      </w:sdt>
      <w:r>
        <w:rPr/>
        <w:t>. A</w:t>
      </w:r>
      <w:r>
        <w:rPr/>
        <w:t xml:space="preserve">n example of this can be found in the IEC SECOM </w:t>
      </w:r>
      <w:sdt>
        <w:sdtPr>
          <w:citation/>
        </w:sdtPr>
        <w:sdtContent>
          <w:r>
            <w:rPr/>
            <w:fldChar w:fldCharType="begin"/>
          </w:r>
          <w:r>
            <w:rPr/>
            <w:instrText xml:space="preserve"> CITATION IEC22 \l 2057 </w:instrText>
          </w:r>
          <w:r>
            <w:rPr/>
            <w:fldChar w:fldCharType="separate"/>
          </w:r>
          <w:r>
            <w:rPr/>
            <w:t>[3]</w:t>
          </w:r>
          <w:r>
            <w:rPr/>
            <w:fldChar w:fldCharType="end"/>
          </w:r>
        </w:sdtContent>
      </w:sdt>
      <w:r>
        <w:rPr/>
        <w:t xml:space="preserve"> standard.</w:t>
      </w:r>
    </w:p>
    <w:p>
      <w:pPr>
        <w:pStyle w:val="Normal"/>
        <w:rPr/>
      </w:pPr>
      <w:r>
        <w:rPr/>
        <w:t>Finally, an important clarification is that the interactions of a consumer or a service with an MCP instance are not considered to be limited only to actions towards a remote system. For the purposes of this document, any action involving components or functionality of the MCP, including the validation of certificates or signatures and the checks against certificate revocation lists (CRL/OSCP), is considered to be an interaction with an MCP instance.</w:t>
      </w:r>
    </w:p>
    <w:p>
      <w:pPr>
        <w:pStyle w:val="Heading1"/>
        <w:rPr/>
      </w:pPr>
      <w:r>
        <w:rPr>
          <w:rFonts w:cs="Calibri" w:cstheme="minorHAnsi"/>
        </w:rPr>
        <w:t>Use Cases</w:t>
      </w:r>
    </w:p>
    <w:p>
      <w:pPr>
        <w:pStyle w:val="Heading2"/>
        <w:rPr/>
      </w:pPr>
      <w:bookmarkStart w:id="3" w:name="_Ref207275610"/>
      <w:r>
        <w:rPr/>
        <w:t>Use Case A</w:t>
      </w:r>
      <w:bookmarkEnd w:id="3"/>
      <w:r>
        <w:rPr/>
        <w:t xml:space="preserve"> – MSR Global Search</w:t>
      </w:r>
    </w:p>
    <w:p>
      <w:pPr>
        <w:pStyle w:val="BodyText"/>
        <w:numPr>
          <w:ilvl w:val="0"/>
          <w:numId w:val="14"/>
        </w:numPr>
        <w:spacing w:lineRule="atLeast" w:line="216"/>
        <w:rPr>
          <w:rFonts w:cs="Calibri" w:cstheme="minorHAnsi"/>
          <w:szCs w:val="24"/>
        </w:rPr>
      </w:pPr>
      <w:r>
        <w:rPr>
          <w:rStyle w:val="Strong"/>
          <w:rFonts w:cs="Calibri" w:cstheme="minorHAnsi"/>
          <w:color w:val="000000"/>
        </w:rPr>
        <w:t>Who:</w:t>
      </w:r>
      <w:r>
        <w:rPr>
          <w:rFonts w:cs="Calibri" w:cstheme="minorHAnsi"/>
        </w:rPr>
        <w:t> A consumer registered with a legitimate MCP instance.</w:t>
      </w:r>
    </w:p>
    <w:p>
      <w:pPr>
        <w:pStyle w:val="BodyText"/>
        <w:numPr>
          <w:ilvl w:val="0"/>
          <w:numId w:val="14"/>
        </w:numPr>
        <w:spacing w:lineRule="atLeast" w:line="216"/>
        <w:rPr>
          <w:rFonts w:cs="Calibri" w:cstheme="minorHAnsi"/>
          <w:sz w:val="22"/>
        </w:rPr>
      </w:pPr>
      <w:r>
        <w:rPr>
          <w:rStyle w:val="Strong"/>
          <w:rFonts w:cs="Calibri" w:cstheme="minorHAnsi"/>
          <w:color w:val="000000"/>
        </w:rPr>
        <w:t>Wants to:</w:t>
      </w:r>
      <w:r>
        <w:rPr>
          <w:rFonts w:cs="Calibri" w:cstheme="minorHAnsi"/>
        </w:rPr>
        <w:t xml:space="preserve"> Discover and use a </w:t>
      </w:r>
      <w:r>
        <w:rPr>
          <w:rFonts w:eastAsia="Times New Roman" w:cs="Calibri" w:cstheme="minorHAnsi"/>
          <w:szCs w:val="24"/>
          <w:lang w:val="en-AU" w:eastAsia="en-AU"/>
        </w:rPr>
        <w:t xml:space="preserve">technical </w:t>
      </w:r>
      <w:r>
        <w:rPr>
          <w:rFonts w:cs="Calibri" w:cstheme="minorHAnsi"/>
        </w:rPr>
        <w:t xml:space="preserve">service </w:t>
      </w:r>
      <w:r>
        <w:rPr>
          <w:rFonts w:eastAsia="Times New Roman" w:cs="Calibri" w:cstheme="minorHAnsi"/>
          <w:szCs w:val="24"/>
          <w:lang w:val="en-AU" w:eastAsia="en-AU"/>
        </w:rPr>
        <w:t xml:space="preserve">registered </w:t>
      </w:r>
      <w:r>
        <w:rPr>
          <w:rFonts w:cs="Calibri" w:cstheme="minorHAnsi"/>
        </w:rPr>
        <w:t>a different MCP domain.</w:t>
      </w:r>
    </w:p>
    <w:p>
      <w:pPr>
        <w:pStyle w:val="BodyText"/>
        <w:numPr>
          <w:ilvl w:val="0"/>
          <w:numId w:val="14"/>
        </w:numPr>
        <w:spacing w:lineRule="atLeast" w:line="216"/>
        <w:rPr>
          <w:rFonts w:cs="Calibri" w:cstheme="minorHAnsi"/>
        </w:rPr>
      </w:pPr>
      <w:r>
        <w:rPr>
          <w:rStyle w:val="Strong"/>
          <w:rFonts w:cs="Calibri" w:cstheme="minorHAnsi"/>
          <w:color w:val="000000"/>
        </w:rPr>
        <w:t>So that:</w:t>
      </w:r>
      <w:r>
        <w:rPr>
          <w:rFonts w:cs="Calibri" w:cstheme="minorHAnsi"/>
        </w:rPr>
        <w:t> It will obtain the information required for its task (e.g. plan a route).</w:t>
      </w:r>
    </w:p>
    <w:p>
      <w:pPr>
        <w:pStyle w:val="Heading3"/>
        <w:rPr/>
      </w:pPr>
      <w:r>
        <w:rPr/>
        <w:t>Description</w:t>
      </w:r>
    </w:p>
    <w:p>
      <w:pPr>
        <w:pStyle w:val="Normal"/>
        <w:rPr>
          <w:lang w:eastAsia="de-DE"/>
        </w:rPr>
      </w:pPr>
      <w:r>
        <w:rPr>
          <w:lang w:eastAsia="de-DE"/>
        </w:rPr>
        <w:t xml:space="preserve">This use case is taken directly from the IALA MSR technical specification (IALA G1191 </w:t>
      </w:r>
      <w:sdt>
        <w:sdtPr>
          <w:citation/>
        </w:sdtPr>
        <w:sdtContent>
          <w:r>
            <w:rPr>
              <w:lang w:eastAsia="de-DE"/>
            </w:rPr>
            <w:fldChar w:fldCharType="begin"/>
          </w:r>
          <w:r>
            <w:rPr>
              <w:lang w:eastAsia="de-DE"/>
            </w:rPr>
            <w:instrText xml:space="preserve">CITATION IAL1 \l 2057 </w:instrText>
          </w:r>
          <w:r>
            <w:rPr>
              <w:lang w:eastAsia="de-DE"/>
            </w:rPr>
            <w:fldChar w:fldCharType="separate"/>
          </w:r>
          <w:r>
            <w:rPr>
              <w:lang w:eastAsia="de-DE"/>
            </w:rPr>
            <w:t>[2]</w:t>
          </w:r>
          <w:r>
            <w:rPr>
              <w:lang w:eastAsia="de-DE"/>
            </w:rPr>
            <w:fldChar w:fldCharType="end"/>
          </w:r>
        </w:sdtContent>
      </w:sdt>
      <w:r>
        <w:rPr>
          <w:lang w:eastAsia="de-DE"/>
        </w:rPr>
        <w:t>). A consumer W is a registered user of a legitimate MCP instance</w:t>
      </w:r>
      <w:r>
        <w:rPr>
          <w:lang w:eastAsia="de-DE"/>
        </w:rPr>
        <w:t xml:space="preserve"> in Domain 1. They intend to make a trip towards the destination and will need to obtain some information necessary for the trip (e.g. for planning a route, such as Navigational Warnings or AtoN information). To find the appropriate service(s) (service Z) that can provide that information, the consumer performs a search query to their respective MCP, submitting as query parameters:</w:t>
      </w:r>
    </w:p>
    <w:p>
      <w:pPr>
        <w:pStyle w:val="BodyText"/>
        <w:numPr>
          <w:ilvl w:val="0"/>
          <w:numId w:val="14"/>
        </w:numPr>
        <w:spacing w:lineRule="atLeast" w:line="216"/>
        <w:rPr>
          <w:rStyle w:val="Strong"/>
          <w:rFonts w:cs="Calibri" w:cstheme="minorHAnsi"/>
          <w:b w:val="false"/>
          <w:bCs w:val="false"/>
          <w:color w:val="000000"/>
        </w:rPr>
      </w:pPr>
      <w:r>
        <w:rPr>
          <w:rStyle w:val="Strong"/>
          <w:rFonts w:cs="Calibri" w:cstheme="minorHAnsi"/>
          <w:b w:val="false"/>
          <w:bCs w:val="false"/>
          <w:color w:val="000000"/>
        </w:rPr>
        <w:t>The geometry of interest (e.g. route path);</w:t>
      </w:r>
    </w:p>
    <w:p>
      <w:pPr>
        <w:pStyle w:val="BodyText"/>
        <w:numPr>
          <w:ilvl w:val="0"/>
          <w:numId w:val="14"/>
        </w:numPr>
        <w:spacing w:lineRule="atLeast" w:line="216"/>
        <w:rPr>
          <w:rStyle w:val="Strong"/>
          <w:rFonts w:cs="Calibri" w:cstheme="minorHAnsi"/>
          <w:b w:val="false"/>
          <w:bCs w:val="false"/>
          <w:color w:val="000000"/>
        </w:rPr>
      </w:pPr>
      <w:r>
        <w:rPr>
          <w:rStyle w:val="Strong"/>
          <w:rFonts w:cs="Calibri" w:cstheme="minorHAnsi"/>
          <w:b w:val="false"/>
          <w:bCs w:val="false"/>
          <w:color w:val="000000"/>
        </w:rPr>
        <w:t xml:space="preserve">the service design MRN (see G1128 </w:t>
      </w:r>
      <w:sdt>
        <w:sdtPr>
          <w:citation/>
        </w:sdtPr>
        <w:sdtContent>
          <w:r>
            <w:rPr>
              <w:rStyle w:val="Strong"/>
              <w:rFonts w:cs="Calibri" w:cstheme="minorHAnsi"/>
              <w:b w:val="false"/>
              <w:bCs w:val="false"/>
              <w:color w:val="000000"/>
            </w:rPr>
            <w:fldChar w:fldCharType="begin"/>
          </w:r>
          <w:r>
            <w:rPr>
              <w:rStyle w:val="Strong"/>
              <w:rFonts w:cs="Calibri"/>
              <w:b w:val="false"/>
              <w:bCs w:val="false"/>
              <w:color w:val="000000"/>
            </w:rPr>
            <w:instrText xml:space="preserve">CITATION IAL2 \l 2057 </w:instrText>
          </w:r>
          <w:r>
            <w:rPr>
              <w:rStyle w:val="Strong"/>
              <w:rFonts w:cs="Calibri"/>
              <w:b w:val="false"/>
              <w:bCs w:val="false"/>
              <w:color w:val="000000"/>
            </w:rPr>
            <w:fldChar w:fldCharType="separate"/>
          </w:r>
          <w:r>
            <w:rPr>
              <w:rStyle w:val="Strong"/>
              <w:rFonts w:cs="Calibri"/>
              <w:b w:val="false"/>
              <w:bCs w:val="false"/>
              <w:color w:val="000000"/>
            </w:rPr>
            <w:t>[3]</w:t>
          </w:r>
          <w:r>
            <w:rPr>
              <w:rStyle w:val="Strong"/>
              <w:rFonts w:cs="Calibri"/>
              <w:b w:val="false"/>
              <w:bCs w:val="false"/>
              <w:color w:val="000000"/>
            </w:rPr>
            <w:fldChar w:fldCharType="end"/>
          </w:r>
        </w:sdtContent>
      </w:sdt>
      <w:r>
        <w:rPr>
          <w:rStyle w:val="Strong"/>
          <w:rFonts w:cs="Calibri" w:cstheme="minorHAnsi"/>
          <w:b w:val="false"/>
          <w:bCs w:val="false"/>
          <w:color w:val="000000"/>
        </w:rPr>
        <w:t>) and versions which are compatible with their onboard equipment; and</w:t>
      </w:r>
    </w:p>
    <w:p>
      <w:pPr>
        <w:pStyle w:val="BodyText"/>
        <w:numPr>
          <w:ilvl w:val="0"/>
          <w:numId w:val="14"/>
        </w:numPr>
        <w:spacing w:lineRule="atLeast" w:line="216"/>
        <w:rPr>
          <w:rStyle w:val="Strong"/>
          <w:rFonts w:cs="Calibri" w:cstheme="minorHAnsi"/>
          <w:b w:val="false"/>
          <w:bCs w:val="false"/>
          <w:color w:val="000000"/>
        </w:rPr>
      </w:pPr>
      <w:r>
        <w:rPr>
          <w:rStyle w:val="Strong"/>
          <w:rFonts w:cs="Calibri" w:cstheme="minorHAnsi"/>
          <w:b w:val="false"/>
          <w:bCs w:val="false"/>
          <w:color w:val="000000"/>
        </w:rPr>
        <w:t>the service status which should be Released.</w:t>
      </w:r>
    </w:p>
    <w:p>
      <w:pPr>
        <w:pStyle w:val="Normal"/>
        <w:rPr>
          <w:lang w:eastAsia="de-DE"/>
        </w:rPr>
      </w:pPr>
      <w:r>
        <w:rPr>
          <w:lang w:eastAsia="de-DE"/>
        </w:rPr>
        <w:t xml:space="preserve">A visual overview of this use case, making use of the generic environment established previously can be seen in </w:t>
      </w:r>
      <w:r>
        <w:rPr>
          <w:lang w:eastAsia="de-DE"/>
        </w:rPr>
        <w:fldChar w:fldCharType="begin"/>
      </w:r>
      <w:r>
        <w:rPr>
          <w:lang w:eastAsia="de-DE"/>
        </w:rPr>
        <w:instrText xml:space="preserve"> REF _Ref207287396 \h </w:instrText>
      </w:r>
      <w:r>
        <w:rPr>
          <w:lang w:eastAsia="de-DE"/>
        </w:rPr>
        <w:fldChar w:fldCharType="separate"/>
      </w:r>
      <w:r>
        <w:rPr>
          <w:lang w:eastAsia="de-DE"/>
        </w:rPr>
        <w:t>Figure 2</w:t>
      </w:r>
      <w:r>
        <w:rPr>
          <w:lang w:eastAsia="de-DE"/>
        </w:rPr>
        <w:fldChar w:fldCharType="end"/>
      </w:r>
      <w:r>
        <w:rPr>
          <w:lang w:eastAsia="de-DE"/>
        </w:rPr>
        <w:t>. The figure includes the numbered steps of the ordinary sequency of events.</w:t>
      </w:r>
    </w:p>
    <w:p>
      <w:pPr>
        <w:pStyle w:val="Heading3"/>
        <w:rPr/>
      </w:pPr>
      <w:r>
        <w:rPr/>
        <w:t>Actors</w:t>
      </w:r>
    </w:p>
    <w:p>
      <w:pPr>
        <w:pStyle w:val="BodyText"/>
        <w:numPr>
          <w:ilvl w:val="0"/>
          <w:numId w:val="15"/>
        </w:numPr>
        <w:spacing w:lineRule="atLeast" w:line="216"/>
        <w:rPr>
          <w:rFonts w:cs="" w:cstheme="minorBidi"/>
          <w:szCs w:val="24"/>
        </w:rPr>
      </w:pPr>
      <w:r>
        <w:rPr/>
        <w:t>User using the consumer information system.</w:t>
      </w:r>
    </w:p>
    <w:p>
      <w:pPr>
        <w:pStyle w:val="BodyText"/>
        <w:numPr>
          <w:ilvl w:val="0"/>
          <w:numId w:val="15"/>
        </w:numPr>
        <w:spacing w:lineRule="atLeast" w:line="216"/>
        <w:rPr>
          <w:sz w:val="22"/>
        </w:rPr>
      </w:pPr>
      <w:r>
        <w:rPr/>
        <w:t>Consumer (ECDIS, Route-Planning System or other information system).</w:t>
      </w:r>
    </w:p>
    <w:p>
      <w:pPr>
        <w:pStyle w:val="BodyText"/>
        <w:numPr>
          <w:ilvl w:val="0"/>
          <w:numId w:val="15"/>
        </w:numPr>
        <w:spacing w:lineRule="atLeast" w:line="216"/>
        <w:rPr/>
      </w:pPr>
      <w:r>
        <w:rPr/>
        <w:t>Maritime Technical Service (such as for Navigational Warnings, AtoN information) in its own MCP domain.</w:t>
      </w:r>
    </w:p>
    <w:p>
      <w:pPr>
        <w:pStyle w:val="BodyText"/>
        <w:numPr>
          <w:ilvl w:val="0"/>
          <w:numId w:val="15"/>
        </w:numPr>
        <w:spacing w:lineRule="atLeast" w:line="216"/>
        <w:rPr/>
      </w:pPr>
      <w:r>
        <w:rPr/>
        <w:t>MSR service of the consumer's MCP domain.</w:t>
      </w:r>
    </w:p>
    <w:p>
      <w:pPr>
        <w:pStyle w:val="BodyText"/>
        <w:numPr>
          <w:ilvl w:val="0"/>
          <w:numId w:val="15"/>
        </w:numPr>
        <w:spacing w:lineRule="atLeast" w:line="216"/>
        <w:rPr/>
      </w:pPr>
      <w:r>
        <w:rPr/>
        <w:t>MSR service of the technical service’s MCP domain.</w:t>
      </w:r>
    </w:p>
    <w:p>
      <w:pPr>
        <w:pStyle w:val="Normal"/>
        <w:rPr>
          <w:lang w:eastAsia="de-DE"/>
        </w:rPr>
      </w:pPr>
      <w:r>
        <w:rPr/>
        <w:drawing>
          <wp:inline distT="0" distB="0" distL="0" distR="0">
            <wp:extent cx="5731510" cy="3228340"/>
            <wp:effectExtent l="0" t="0" r="0" b="0"/>
            <wp:docPr id="2" name="Imag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2"/>
                    <pic:cNvPicPr>
                      <a:picLocks noChangeAspect="1" noChangeArrowheads="1"/>
                    </pic:cNvPicPr>
                  </pic:nvPicPr>
                  <pic:blipFill>
                    <a:blip r:embed="rId3"/>
                    <a:stretch>
                      <a:fillRect/>
                    </a:stretch>
                  </pic:blipFill>
                  <pic:spPr bwMode="auto">
                    <a:xfrm>
                      <a:off x="0" y="0"/>
                      <a:ext cx="5731510" cy="3228340"/>
                    </a:xfrm>
                    <a:prstGeom prst="rect">
                      <a:avLst/>
                    </a:prstGeom>
                    <a:noFill/>
                  </pic:spPr>
                </pic:pic>
              </a:graphicData>
            </a:graphic>
          </wp:inline>
        </w:drawing>
      </w:r>
    </w:p>
    <w:p>
      <w:pPr>
        <w:pStyle w:val="Caption"/>
        <w:jc w:val="center"/>
        <w:rPr/>
      </w:pPr>
      <w:bookmarkStart w:id="4" w:name="_Ref207287396"/>
      <w:r>
        <w:rPr/>
        <w:t xml:space="preserve">Figure </w:t>
      </w:r>
      <w:r>
        <w:rPr/>
        <w:fldChar w:fldCharType="begin"/>
      </w:r>
      <w:r>
        <w:rPr/>
        <w:instrText xml:space="preserve"> SEQ Figure \* ARABIC </w:instrText>
      </w:r>
      <w:r>
        <w:rPr/>
        <w:fldChar w:fldCharType="separate"/>
      </w:r>
      <w:r>
        <w:rPr/>
        <w:t>2</w:t>
      </w:r>
      <w:r>
        <w:rPr/>
        <w:fldChar w:fldCharType="end"/>
      </w:r>
      <w:bookmarkEnd w:id="4"/>
      <w:r>
        <w:rPr/>
        <w:t>: The outline of the ordinary sequence of events for Use Case A.</w:t>
      </w:r>
    </w:p>
    <w:p>
      <w:pPr>
        <w:pStyle w:val="BodyText"/>
        <w:numPr>
          <w:ilvl w:val="0"/>
          <w:numId w:val="15"/>
        </w:numPr>
        <w:spacing w:lineRule="atLeast" w:line="216"/>
        <w:rPr/>
      </w:pPr>
      <w:r>
        <w:rPr/>
        <w:t>Maritime Technical Service (such as for Navigational Warnings, AtoN information) in different MCP domain.</w:t>
      </w:r>
      <w:r>
        <w:rPr/>
        <w:t>Frequency of Use</w:t>
      </w:r>
    </w:p>
    <w:p>
      <w:pPr>
        <w:pStyle w:val="BodyText"/>
        <w:rPr>
          <w:rFonts w:cs="" w:cstheme="minorBidi"/>
          <w:szCs w:val="24"/>
        </w:rPr>
      </w:pPr>
      <w:r>
        <w:rPr/>
        <w:t>Typically triggered when the consumer is performing the task (e.g. planning for a trip) for a destination which is far away from their base of operations.</w:t>
      </w:r>
    </w:p>
    <w:p>
      <w:pPr>
        <w:pStyle w:val="Heading3"/>
        <w:rPr/>
      </w:pPr>
      <w:r>
        <w:rPr/>
        <w:t>Pre-Conditions</w:t>
      </w:r>
    </w:p>
    <w:p>
      <w:pPr>
        <w:pStyle w:val="BodyText"/>
        <w:numPr>
          <w:ilvl w:val="0"/>
          <w:numId w:val="16"/>
        </w:numPr>
        <w:spacing w:lineRule="atLeast" w:line="216"/>
        <w:rPr>
          <w:rFonts w:cs="" w:cstheme="minorBidi"/>
          <w:szCs w:val="24"/>
        </w:rPr>
      </w:pPr>
      <w:r>
        <w:rPr/>
        <w:t>The consumer is registered with a legitimate MCP instance.</w:t>
      </w:r>
    </w:p>
    <w:p>
      <w:pPr>
        <w:pStyle w:val="BodyText"/>
        <w:numPr>
          <w:ilvl w:val="0"/>
          <w:numId w:val="16"/>
        </w:numPr>
        <w:spacing w:lineRule="atLeast" w:line="216"/>
        <w:rPr>
          <w:sz w:val="22"/>
        </w:rPr>
      </w:pPr>
      <w:r>
        <w:rPr/>
        <w:t>The consumer's MCP instance is interconnected with a compatible instance associated with a technical service, which meets the consumer's requirements.</w:t>
      </w:r>
    </w:p>
    <w:p>
      <w:pPr>
        <w:pStyle w:val="BodyText"/>
        <w:numPr>
          <w:ilvl w:val="0"/>
          <w:numId w:val="16"/>
        </w:numPr>
        <w:spacing w:lineRule="atLeast" w:line="216"/>
        <w:rPr>
          <w:rFonts w:cs="" w:cstheme="minorBidi"/>
          <w:szCs w:val="24"/>
        </w:rPr>
      </w:pPr>
      <w:r>
        <w:rPr/>
        <w:t>The MCP instance of the technical service is also a legitimate MCP instance.</w:t>
      </w:r>
    </w:p>
    <w:p>
      <w:pPr>
        <w:pStyle w:val="BodyText"/>
        <w:numPr>
          <w:ilvl w:val="0"/>
          <w:numId w:val="16"/>
        </w:numPr>
        <w:spacing w:lineRule="atLeast" w:line="216"/>
        <w:rPr/>
      </w:pPr>
      <w:r>
        <w:rPr/>
        <w:t>All actors support the search service request functionality.</w:t>
      </w:r>
    </w:p>
    <w:p>
      <w:pPr>
        <w:pStyle w:val="BodyText"/>
        <w:numPr>
          <w:ilvl w:val="0"/>
          <w:numId w:val="16"/>
        </w:numPr>
        <w:spacing w:lineRule="atLeast" w:line="216"/>
        <w:rPr/>
      </w:pPr>
      <w:r>
        <w:rPr/>
        <w:t>The consumer of the search has the ability to poll an MSR for further results.</w:t>
      </w:r>
    </w:p>
    <w:p>
      <w:pPr>
        <w:pStyle w:val="BodyText"/>
        <w:numPr>
          <w:ilvl w:val="0"/>
          <w:numId w:val="16"/>
        </w:numPr>
        <w:spacing w:lineRule="atLeast" w:line="216"/>
        <w:rPr/>
      </w:pPr>
      <w:r>
        <w:rPr/>
        <w:t>Identity verification is a given in this use case and is not described.</w:t>
      </w:r>
    </w:p>
    <w:p>
      <w:pPr>
        <w:pStyle w:val="Heading3"/>
        <w:rPr/>
      </w:pPr>
      <w:r>
        <w:rPr/>
        <w:t>Ordinary Sequence</w:t>
      </w:r>
    </w:p>
    <w:p>
      <w:pPr>
        <w:pStyle w:val="ListParagraph"/>
        <w:numPr>
          <w:ilvl w:val="0"/>
          <w:numId w:val="18"/>
        </w:numPr>
        <w:rPr>
          <w:rFonts w:cs="Times New Roman"/>
          <w:szCs w:val="20"/>
        </w:rPr>
      </w:pPr>
      <w:r>
        <w:rPr/>
        <w:t>The consumer sends a search request to the MSR of its own MCP domain, including its route path and other criteria.</w:t>
      </w:r>
    </w:p>
    <w:p>
      <w:pPr>
        <w:pStyle w:val="ListParagraph"/>
        <w:numPr>
          <w:ilvl w:val="0"/>
          <w:numId w:val="18"/>
        </w:numPr>
        <w:rPr>
          <w:sz w:val="22"/>
        </w:rPr>
      </w:pPr>
      <w:r>
        <w:rPr/>
        <w:t>The consumer's MSR searches its internal database and finds any matching registered entry.</w:t>
      </w:r>
    </w:p>
    <w:p>
      <w:pPr>
        <w:pStyle w:val="ListParagraph"/>
        <w:numPr>
          <w:ilvl w:val="0"/>
          <w:numId w:val="18"/>
        </w:numPr>
        <w:rPr/>
      </w:pPr>
      <w:r>
        <w:rPr/>
        <w:t>The consumer's MSR will reply with the local search result and supply a transaction ID that can be used when returning results from the other MCPs.</w:t>
      </w:r>
    </w:p>
    <w:p>
      <w:pPr>
        <w:pStyle w:val="ListParagraph"/>
        <w:numPr>
          <w:ilvl w:val="0"/>
          <w:numId w:val="18"/>
        </w:numPr>
        <w:rPr/>
      </w:pPr>
      <w:r>
        <w:rPr/>
        <w:t>The consumer's MSR propagates the search request (along with the geometry provided description of the route) to interconnected MCP instances, which potentially have services meeting the requirements specified in the received request.</w:t>
      </w:r>
    </w:p>
    <w:p>
      <w:pPr>
        <w:pStyle w:val="ListParagraph"/>
        <w:numPr>
          <w:ilvl w:val="0"/>
          <w:numId w:val="18"/>
        </w:numPr>
        <w:rPr/>
      </w:pPr>
      <w:r>
        <w:rPr/>
        <w:t>The MSRs of the interconnected MCP instances will validate the request and ensure that it comes from a reliable source, already vetted and allowed to perform service search.</w:t>
      </w:r>
    </w:p>
    <w:p>
      <w:pPr>
        <w:pStyle w:val="ListParagraph"/>
        <w:numPr>
          <w:ilvl w:val="0"/>
          <w:numId w:val="18"/>
        </w:numPr>
        <w:rPr/>
      </w:pPr>
      <w:r>
        <w:rPr/>
        <w:t xml:space="preserve">The interconnected MSRs will respond with the search results from their own internal databases. If a search via the search platform does not produce any results, an MSR should not respond with an empty result. </w:t>
      </w:r>
    </w:p>
    <w:p>
      <w:pPr>
        <w:pStyle w:val="ListParagraph"/>
        <w:numPr>
          <w:ilvl w:val="0"/>
          <w:numId w:val="18"/>
        </w:numPr>
        <w:rPr/>
      </w:pPr>
      <w:r>
        <w:rPr/>
        <w:t>The consumer's MSR will collect all valid responses identified by the transaction ID</w:t>
      </w:r>
      <w:r>
        <w:rPr>
          <w:rStyle w:val="HTMLCode"/>
          <w:rFonts w:eastAsia="Batang" w:cs="Menlo" w:ascii="Menlo" w:hAnsi="Menlo"/>
          <w:color w:val="000000"/>
          <w:shd w:fill="FFFFFF" w:val="clear"/>
        </w:rPr>
        <w:t xml:space="preserve"> </w:t>
      </w:r>
      <w:r>
        <w:rPr/>
        <w:t>and compile a single list of search response entries.</w:t>
      </w:r>
    </w:p>
    <w:p>
      <w:pPr>
        <w:pStyle w:val="ListParagraph"/>
        <w:numPr>
          <w:ilvl w:val="0"/>
          <w:numId w:val="18"/>
        </w:numPr>
        <w:rPr/>
      </w:pPr>
      <w:r>
        <w:rPr/>
        <w:t>The consumer will receive the service information list by polling the MSR to get the results as they arrive via global search. If no results are received, an empty list is returned.</w:t>
      </w:r>
    </w:p>
    <w:p>
      <w:pPr>
        <w:pStyle w:val="ListParagraph"/>
        <w:numPr>
          <w:ilvl w:val="0"/>
          <w:numId w:val="18"/>
        </w:numPr>
        <w:rPr/>
      </w:pPr>
      <w:r>
        <w:rPr/>
        <w:t>The consumer will select which of the services it will contact, based on its own set of criteria.</w:t>
      </w:r>
    </w:p>
    <w:p>
      <w:pPr>
        <w:pStyle w:val="ListParagraph"/>
        <w:numPr>
          <w:ilvl w:val="0"/>
          <w:numId w:val="18"/>
        </w:numPr>
        <w:rPr/>
      </w:pPr>
      <w:r>
        <w:rPr/>
        <w:t xml:space="preserve">The consumer will contact the selected technical service (Service Z in the example of </w:t>
      </w:r>
      <w:r>
        <w:rPr/>
        <w:fldChar w:fldCharType="begin"/>
      </w:r>
      <w:r>
        <w:rPr/>
        <w:instrText xml:space="preserve"> REF _Ref207287396 \h </w:instrText>
      </w:r>
      <w:r>
        <w:rPr/>
        <w:fldChar w:fldCharType="separate"/>
      </w:r>
      <w:r>
        <w:rPr/>
        <w:t>Figure 2</w:t>
      </w:r>
      <w:r>
        <w:rPr/>
        <w:fldChar w:fldCharType="end"/>
      </w:r>
      <w:r>
        <w:rPr/>
        <w:t>), sending a request to be processed.</w:t>
      </w:r>
    </w:p>
    <w:p>
      <w:pPr>
        <w:pStyle w:val="ListParagraph"/>
        <w:numPr>
          <w:ilvl w:val="0"/>
          <w:numId w:val="18"/>
        </w:numPr>
        <w:rPr/>
      </w:pPr>
      <w:r>
        <w:rPr>
          <w:lang w:eastAsia="de-DE"/>
        </w:rPr>
        <w:t>The technical service will respond to the consumer with the data matching the request made.</w:t>
      </w:r>
    </w:p>
    <w:p>
      <w:pPr>
        <w:pStyle w:val="ListParagraph"/>
        <w:numPr>
          <w:ilvl w:val="0"/>
          <w:numId w:val="18"/>
        </w:numPr>
        <w:rPr/>
      </w:pPr>
      <w:r>
        <w:rPr/>
        <w:t>The data is rendered and displayed to the user.</w:t>
      </w:r>
    </w:p>
    <w:p>
      <w:pPr>
        <w:pStyle w:val="Heading3"/>
        <w:rPr/>
      </w:pPr>
      <w:r>
        <w:rPr/>
        <w:t>Post-Conditions</w:t>
      </w:r>
    </w:p>
    <w:p>
      <w:pPr>
        <w:pStyle w:val="BodyText"/>
        <w:rPr>
          <w:lang w:eastAsia="de-DE"/>
        </w:rPr>
      </w:pPr>
      <w:r>
        <w:rPr/>
        <w:t>The correct maritime information is received by the consumer.</w:t>
      </w:r>
    </w:p>
    <w:p>
      <w:pPr>
        <w:pStyle w:val="Heading2"/>
        <w:rPr/>
      </w:pPr>
      <w:r>
        <w:rPr/>
        <w:t>Use Case B – Technical Service Information Retrieval</w:t>
      </w:r>
    </w:p>
    <w:p>
      <w:pPr>
        <w:pStyle w:val="BodyText"/>
        <w:numPr>
          <w:ilvl w:val="0"/>
          <w:numId w:val="14"/>
        </w:numPr>
        <w:spacing w:lineRule="atLeast" w:line="216"/>
        <w:rPr>
          <w:rFonts w:cs="Calibri" w:cstheme="minorHAnsi"/>
          <w:szCs w:val="24"/>
        </w:rPr>
      </w:pPr>
      <w:r>
        <w:rPr>
          <w:rStyle w:val="Strong"/>
          <w:rFonts w:cs="Calibri" w:cstheme="minorHAnsi"/>
          <w:color w:val="000000"/>
        </w:rPr>
        <w:t>Who:</w:t>
      </w:r>
      <w:r>
        <w:rPr>
          <w:rFonts w:cs="Calibri" w:cstheme="minorHAnsi"/>
        </w:rPr>
        <w:t> A consumer registered with a legitimate MCP instance.</w:t>
      </w:r>
    </w:p>
    <w:p>
      <w:pPr>
        <w:pStyle w:val="BodyText"/>
        <w:numPr>
          <w:ilvl w:val="0"/>
          <w:numId w:val="14"/>
        </w:numPr>
        <w:spacing w:lineRule="atLeast" w:line="216"/>
        <w:rPr>
          <w:rFonts w:cs="Calibri" w:cstheme="minorHAnsi"/>
          <w:sz w:val="22"/>
        </w:rPr>
      </w:pPr>
      <w:r>
        <w:rPr>
          <w:rStyle w:val="Strong"/>
          <w:rFonts w:cs="Calibri" w:cstheme="minorHAnsi"/>
          <w:color w:val="000000"/>
        </w:rPr>
        <w:t>Wants to:</w:t>
      </w:r>
      <w:r>
        <w:rPr>
          <w:rFonts w:cs="Calibri" w:cstheme="minorHAnsi"/>
        </w:rPr>
        <w:t xml:space="preserve"> Access data from a </w:t>
      </w:r>
      <w:r>
        <w:rPr>
          <w:rFonts w:eastAsia="Times New Roman" w:cs="Calibri" w:cstheme="minorHAnsi"/>
          <w:szCs w:val="24"/>
          <w:lang w:val="en-AU" w:eastAsia="en-AU"/>
        </w:rPr>
        <w:t xml:space="preserve">technical </w:t>
      </w:r>
      <w:r>
        <w:rPr>
          <w:rFonts w:cs="Calibri" w:cstheme="minorHAnsi"/>
        </w:rPr>
        <w:t>service registered in a different MCP domain.</w:t>
      </w:r>
    </w:p>
    <w:p>
      <w:pPr>
        <w:pStyle w:val="BodyText"/>
        <w:numPr>
          <w:ilvl w:val="0"/>
          <w:numId w:val="14"/>
        </w:numPr>
        <w:spacing w:lineRule="atLeast" w:line="216"/>
        <w:rPr>
          <w:rFonts w:cs="Calibri" w:cstheme="minorHAnsi"/>
        </w:rPr>
      </w:pPr>
      <w:r>
        <w:rPr>
          <w:rStyle w:val="Strong"/>
          <w:rFonts w:cs="Calibri" w:cstheme="minorHAnsi"/>
          <w:color w:val="000000"/>
        </w:rPr>
        <w:t>So that:</w:t>
      </w:r>
      <w:r>
        <w:rPr>
          <w:rFonts w:cs="Calibri" w:cstheme="minorHAnsi"/>
        </w:rPr>
        <w:t> It will obtain the information required for performing a task (e.g. plan a route).</w:t>
      </w:r>
    </w:p>
    <w:p>
      <w:pPr>
        <w:pStyle w:val="Heading3"/>
        <w:rPr/>
      </w:pPr>
      <w:r>
        <w:rPr/>
        <w:t>Description</w:t>
      </w:r>
    </w:p>
    <w:p>
      <w:pPr>
        <w:pStyle w:val="BodyText"/>
        <w:rPr>
          <w:lang w:eastAsia="de-DE"/>
        </w:rPr>
      </w:pPr>
      <w:r>
        <w:rPr>
          <w:lang w:eastAsia="de-DE"/>
        </w:rPr>
        <w:t xml:space="preserve">This is basically a subset of the previous </w:t>
      </w:r>
      <w:r>
        <w:rPr>
          <w:lang w:eastAsia="de-DE"/>
        </w:rPr>
        <w:fldChar w:fldCharType="begin"/>
      </w:r>
      <w:r>
        <w:rPr>
          <w:lang w:eastAsia="de-DE"/>
        </w:rPr>
        <w:instrText xml:space="preserve"> REF _Ref207275610 \h </w:instrText>
      </w:r>
      <w:r>
        <w:rPr>
          <w:lang w:eastAsia="de-DE"/>
        </w:rPr>
        <w:fldChar w:fldCharType="separate"/>
      </w:r>
      <w:r>
        <w:rPr>
          <w:lang w:eastAsia="de-DE"/>
        </w:rPr>
        <w:t>Use Case A</w:t>
      </w:r>
      <w:r>
        <w:rPr>
          <w:lang w:eastAsia="de-DE"/>
        </w:rPr>
        <w:fldChar w:fldCharType="end"/>
      </w:r>
      <w:r>
        <w:rPr>
          <w:lang w:eastAsia="de-DE"/>
        </w:rPr>
        <w:t>. It involves the operations that take place when a consumer W needs to access information from a technical service Z, which is associated with a different MCP domain. The initial consumer request to the service should therefore first get validated and if the consumer belongs to a recognised and interconnected MCP domain, then the service should be allowed to respond. Likewise, the consumer is required to ensure that the response, along with any cryptographic signatures, is authentic and still valid.</w:t>
      </w:r>
    </w:p>
    <w:p>
      <w:pPr>
        <w:pStyle w:val="Normal"/>
        <w:rPr>
          <w:lang w:eastAsia="de-DE"/>
        </w:rPr>
      </w:pPr>
      <w:r>
        <w:rPr>
          <w:lang w:eastAsia="de-DE"/>
        </w:rPr>
        <w:t xml:space="preserve">A visual overview of this use case, making use of the generic environment established previously can be seen in </w:t>
      </w:r>
      <w:r>
        <w:rPr>
          <w:lang w:eastAsia="de-DE"/>
        </w:rPr>
        <w:fldChar w:fldCharType="begin"/>
      </w:r>
      <w:r>
        <w:rPr>
          <w:lang w:eastAsia="de-DE"/>
        </w:rPr>
        <w:instrText xml:space="preserve"> REF _Ref207287406 \h </w:instrText>
      </w:r>
      <w:r>
        <w:rPr>
          <w:lang w:eastAsia="de-DE"/>
        </w:rPr>
        <w:fldChar w:fldCharType="separate"/>
      </w:r>
      <w:r>
        <w:rPr>
          <w:lang w:eastAsia="de-DE"/>
        </w:rPr>
        <w:t>Figure 3</w:t>
      </w:r>
      <w:r>
        <w:rPr>
          <w:lang w:eastAsia="de-DE"/>
        </w:rPr>
        <w:fldChar w:fldCharType="end"/>
      </w:r>
      <w:r>
        <w:rPr>
          <w:lang w:eastAsia="de-DE"/>
        </w:rPr>
        <w:t>. The figure includes the numbered steps of the ordinary sequency of events.</w:t>
      </w:r>
    </w:p>
    <w:p>
      <w:pPr>
        <w:pStyle w:val="Normal"/>
        <w:keepNext w:val="true"/>
        <w:rPr/>
      </w:pPr>
      <w:r>
        <w:rPr/>
        <w:drawing>
          <wp:inline distT="0" distB="0" distL="0" distR="0">
            <wp:extent cx="5731510" cy="3290570"/>
            <wp:effectExtent l="0" t="0" r="0"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pic:cNvPicPr>
                      <a:picLocks noChangeAspect="1" noChangeArrowheads="1"/>
                    </pic:cNvPicPr>
                  </pic:nvPicPr>
                  <pic:blipFill>
                    <a:blip r:embed="rId4"/>
                    <a:stretch>
                      <a:fillRect/>
                    </a:stretch>
                  </pic:blipFill>
                  <pic:spPr bwMode="auto">
                    <a:xfrm>
                      <a:off x="0" y="0"/>
                      <a:ext cx="5731510" cy="3290570"/>
                    </a:xfrm>
                    <a:prstGeom prst="rect">
                      <a:avLst/>
                    </a:prstGeom>
                    <a:noFill/>
                  </pic:spPr>
                </pic:pic>
              </a:graphicData>
            </a:graphic>
          </wp:inline>
        </w:drawing>
      </w:r>
    </w:p>
    <w:p>
      <w:pPr>
        <w:pStyle w:val="Caption"/>
        <w:jc w:val="center"/>
        <w:rPr>
          <w:lang w:eastAsia="de-DE"/>
        </w:rPr>
      </w:pPr>
      <w:bookmarkStart w:id="7" w:name="_Ref207287406"/>
      <w:r>
        <w:rPr/>
        <w:t xml:space="preserve">Figure </w:t>
      </w:r>
      <w:r>
        <w:rPr/>
        <w:fldChar w:fldCharType="begin"/>
      </w:r>
      <w:r>
        <w:rPr/>
        <w:instrText xml:space="preserve"> SEQ Figure \* ARABIC </w:instrText>
      </w:r>
      <w:r>
        <w:rPr/>
        <w:fldChar w:fldCharType="separate"/>
      </w:r>
      <w:r>
        <w:rPr/>
        <w:t>3</w:t>
      </w:r>
      <w:r>
        <w:rPr/>
        <w:fldChar w:fldCharType="end"/>
      </w:r>
      <w:bookmarkEnd w:id="7"/>
      <w:r>
        <w:rPr/>
        <w:t>: The outline of the ordinary sequence of events for Use Case B.</w:t>
      </w:r>
    </w:p>
    <w:p>
      <w:pPr>
        <w:pStyle w:val="Heading3"/>
        <w:rPr/>
      </w:pPr>
      <w:r>
        <w:rPr/>
        <w:t>Actors</w:t>
      </w:r>
    </w:p>
    <w:p>
      <w:pPr>
        <w:pStyle w:val="BodyText"/>
        <w:numPr>
          <w:ilvl w:val="0"/>
          <w:numId w:val="15"/>
        </w:numPr>
        <w:spacing w:lineRule="atLeast" w:line="216"/>
        <w:rPr>
          <w:rFonts w:cs="" w:cstheme="minorBidi"/>
          <w:szCs w:val="24"/>
        </w:rPr>
      </w:pPr>
      <w:r>
        <w:rPr/>
        <w:t>User using the consumer information system.</w:t>
      </w:r>
    </w:p>
    <w:p>
      <w:pPr>
        <w:pStyle w:val="BodyText"/>
        <w:numPr>
          <w:ilvl w:val="0"/>
          <w:numId w:val="15"/>
        </w:numPr>
        <w:spacing w:lineRule="atLeast" w:line="216"/>
        <w:rPr>
          <w:sz w:val="22"/>
        </w:rPr>
      </w:pPr>
      <w:r>
        <w:rPr/>
        <w:t>Consumer (ECDIS, Route-Planning System or other information system).</w:t>
      </w:r>
    </w:p>
    <w:p>
      <w:pPr>
        <w:pStyle w:val="BodyText"/>
        <w:numPr>
          <w:ilvl w:val="0"/>
          <w:numId w:val="15"/>
        </w:numPr>
        <w:spacing w:lineRule="atLeast" w:line="216"/>
        <w:rPr/>
      </w:pPr>
      <w:r>
        <w:rPr/>
        <w:t>Maritime Technical Service (such as for Navigational Warnings, AtoN information) in its own MCP domain.</w:t>
      </w:r>
    </w:p>
    <w:p>
      <w:pPr>
        <w:pStyle w:val="BodyText"/>
        <w:numPr>
          <w:ilvl w:val="0"/>
          <w:numId w:val="15"/>
        </w:numPr>
        <w:spacing w:lineRule="atLeast" w:line="216"/>
        <w:rPr/>
      </w:pPr>
      <w:r>
        <w:rPr/>
        <w:t>The MIR service of the consumer's MCP domain.</w:t>
      </w:r>
    </w:p>
    <w:p>
      <w:pPr>
        <w:pStyle w:val="BodyText"/>
        <w:numPr>
          <w:ilvl w:val="0"/>
          <w:numId w:val="15"/>
        </w:numPr>
        <w:spacing w:lineRule="atLeast" w:line="216"/>
        <w:rPr/>
      </w:pPr>
      <w:r>
        <w:rPr/>
        <w:t>The MIR service of the technical service’s MCP domain.</w:t>
      </w:r>
    </w:p>
    <w:p>
      <w:pPr>
        <w:pStyle w:val="Heading3"/>
        <w:rPr/>
      </w:pPr>
      <w:r>
        <w:rPr/>
        <w:t>Frequency of Use</w:t>
      </w:r>
    </w:p>
    <w:p>
      <w:pPr>
        <w:pStyle w:val="Normal"/>
        <w:rPr>
          <w:lang w:val="da-DK" w:eastAsia="en-US"/>
        </w:rPr>
      </w:pPr>
      <w:r>
        <w:rPr/>
        <w:t>Typically triggered when the consumer is required to access information from services that belong to different MCP domains.</w:t>
      </w:r>
    </w:p>
    <w:p>
      <w:pPr>
        <w:pStyle w:val="Heading3"/>
        <w:rPr/>
      </w:pPr>
      <w:r>
        <w:rPr/>
        <w:t>Pre-Conditions</w:t>
      </w:r>
    </w:p>
    <w:p>
      <w:pPr>
        <w:pStyle w:val="BodyText"/>
        <w:numPr>
          <w:ilvl w:val="0"/>
          <w:numId w:val="16"/>
        </w:numPr>
        <w:spacing w:lineRule="atLeast" w:line="216"/>
        <w:ind w:hanging="357" w:start="714"/>
        <w:rPr>
          <w:rFonts w:cs="" w:cstheme="minorBidi"/>
          <w:szCs w:val="24"/>
        </w:rPr>
      </w:pPr>
      <w:r>
        <w:rPr/>
        <w:t>The consumer is registered with a legitimate MCP instance.</w:t>
      </w:r>
    </w:p>
    <w:p>
      <w:pPr>
        <w:pStyle w:val="BodyText"/>
        <w:numPr>
          <w:ilvl w:val="0"/>
          <w:numId w:val="16"/>
        </w:numPr>
        <w:spacing w:lineRule="atLeast" w:line="216"/>
        <w:ind w:hanging="357" w:start="714"/>
        <w:rPr>
          <w:rFonts w:cs="" w:cstheme="minorBidi"/>
          <w:szCs w:val="24"/>
        </w:rPr>
      </w:pPr>
      <w:r>
        <w:rPr/>
        <w:t>The technical service is registered with a legitimate MCP instance.</w:t>
      </w:r>
    </w:p>
    <w:p>
      <w:pPr>
        <w:pStyle w:val="BodyText"/>
        <w:numPr>
          <w:ilvl w:val="0"/>
          <w:numId w:val="16"/>
        </w:numPr>
        <w:spacing w:lineRule="atLeast" w:line="216"/>
        <w:ind w:hanging="357" w:start="714"/>
        <w:rPr>
          <w:sz w:val="22"/>
        </w:rPr>
      </w:pPr>
      <w:r>
        <w:rPr/>
        <w:t>The consumer's MCP instance is interconnected with a compatible instance associated with a technical service, which meets the consumer’s requirements.</w:t>
      </w:r>
    </w:p>
    <w:p>
      <w:pPr>
        <w:pStyle w:val="BodyText"/>
        <w:numPr>
          <w:ilvl w:val="0"/>
          <w:numId w:val="16"/>
        </w:numPr>
        <w:spacing w:lineRule="atLeast" w:line="216"/>
        <w:ind w:hanging="357" w:start="714"/>
        <w:rPr>
          <w:sz w:val="22"/>
        </w:rPr>
      </w:pPr>
      <w:r>
        <w:rPr/>
        <w:t>The consumer has already all the necessary knowledge on how to access the technical service.</w:t>
      </w:r>
    </w:p>
    <w:p>
      <w:pPr>
        <w:pStyle w:val="BodyText"/>
        <w:numPr>
          <w:ilvl w:val="0"/>
          <w:numId w:val="16"/>
        </w:numPr>
        <w:spacing w:lineRule="atLeast" w:line="216"/>
        <w:ind w:hanging="357" w:start="714"/>
        <w:rPr>
          <w:rFonts w:cs="" w:cstheme="minorBidi"/>
          <w:szCs w:val="24"/>
        </w:rPr>
      </w:pPr>
      <w:r>
        <w:rPr>
          <w:rFonts w:cs="" w:cstheme="minorBidi"/>
          <w:szCs w:val="24"/>
        </w:rPr>
        <w:t>Both MCP instances provide the facilities to validate MCP certificates.</w:t>
      </w:r>
    </w:p>
    <w:p>
      <w:pPr>
        <w:pStyle w:val="Heading3"/>
        <w:rPr/>
      </w:pPr>
      <w:r>
        <w:rPr/>
        <w:t>Ordinary Sequence</w:t>
      </w:r>
    </w:p>
    <w:p>
      <w:pPr>
        <w:pStyle w:val="BodyText"/>
        <w:numPr>
          <w:ilvl w:val="0"/>
          <w:numId w:val="19"/>
        </w:numPr>
        <w:rPr>
          <w:lang w:eastAsia="de-DE"/>
        </w:rPr>
      </w:pPr>
      <w:r>
        <w:rPr>
          <w:lang w:eastAsia="de-DE"/>
        </w:rPr>
        <w:t>The consumer will send a data retrieval request to the technical service, based on the already known contact information (e.g. from a previous MCP request).</w:t>
      </w:r>
    </w:p>
    <w:p>
      <w:pPr>
        <w:pStyle w:val="BodyText"/>
        <w:numPr>
          <w:ilvl w:val="0"/>
          <w:numId w:val="19"/>
        </w:numPr>
        <w:rPr>
          <w:lang w:eastAsia="de-DE"/>
        </w:rPr>
      </w:pPr>
      <w:r>
        <w:rPr>
          <w:lang w:eastAsia="de-DE"/>
        </w:rPr>
        <w:t>The technical service receives the incoming requests and validates the identity of the consumer and the validity of the incoming request, through the consumer’s MCP instance (revocation list check using the MIR).</w:t>
      </w:r>
    </w:p>
    <w:p>
      <w:pPr>
        <w:pStyle w:val="BodyText"/>
        <w:numPr>
          <w:ilvl w:val="0"/>
          <w:numId w:val="19"/>
        </w:numPr>
        <w:rPr>
          <w:lang w:eastAsia="de-DE"/>
        </w:rPr>
      </w:pPr>
      <w:r>
        <w:rPr>
          <w:lang w:eastAsia="de-DE"/>
        </w:rPr>
        <w:t>If the identity of the consumer is indeed valid, the technical service will send back a response with the requested data.</w:t>
      </w:r>
    </w:p>
    <w:p>
      <w:pPr>
        <w:pStyle w:val="BodyText"/>
        <w:numPr>
          <w:ilvl w:val="0"/>
          <w:numId w:val="19"/>
        </w:numPr>
        <w:rPr>
          <w:lang w:eastAsia="de-DE"/>
        </w:rPr>
      </w:pPr>
      <w:r>
        <w:rPr>
          <w:lang w:eastAsia="de-DE"/>
        </w:rPr>
        <w:t>The consumer will receive the technical service response and will first have to first validate the identity of the sender, through the technical service’s MCP instance (revocation list check using the MIR).</w:t>
      </w:r>
    </w:p>
    <w:p>
      <w:pPr>
        <w:pStyle w:val="BodyText"/>
        <w:numPr>
          <w:ilvl w:val="0"/>
          <w:numId w:val="19"/>
        </w:numPr>
        <w:rPr>
          <w:lang w:eastAsia="de-DE"/>
        </w:rPr>
      </w:pPr>
      <w:r>
        <w:rPr>
          <w:lang w:eastAsia="de-DE"/>
        </w:rPr>
        <w:t>Once the identity of the sender is verified, the consumer should also check the validity of the incoming data, through the included cryptographic signatures.</w:t>
      </w:r>
    </w:p>
    <w:p>
      <w:pPr>
        <w:pStyle w:val="Heading3"/>
        <w:rPr/>
      </w:pPr>
      <w:r>
        <w:rPr/>
        <w:t>Post-Conditions</w:t>
      </w:r>
    </w:p>
    <w:p>
      <w:pPr>
        <w:pStyle w:val="BodyText"/>
        <w:rPr/>
      </w:pPr>
      <w:r>
        <w:rPr/>
        <w:t>The correct maritime information is received by the consumer and presented to the user.</w:t>
      </w:r>
    </w:p>
    <w:p>
      <w:pPr>
        <w:pStyle w:val="Heading2"/>
        <w:rPr/>
      </w:pPr>
      <w:bookmarkStart w:id="8" w:name="_Ref207354644"/>
      <w:r>
        <w:rPr/>
        <w:t>Use Case C – Consumer Identity Validation by Technical Service</w:t>
      </w:r>
      <w:bookmarkEnd w:id="8"/>
    </w:p>
    <w:p>
      <w:pPr>
        <w:pStyle w:val="BodyText"/>
        <w:numPr>
          <w:ilvl w:val="0"/>
          <w:numId w:val="14"/>
        </w:numPr>
        <w:spacing w:lineRule="atLeast" w:line="216"/>
        <w:rPr>
          <w:rFonts w:cs="Calibri" w:cstheme="minorHAnsi"/>
          <w:szCs w:val="24"/>
        </w:rPr>
      </w:pPr>
      <w:r>
        <w:rPr>
          <w:rStyle w:val="Strong"/>
          <w:rFonts w:cs="Calibri" w:cstheme="minorHAnsi"/>
          <w:color w:val="000000"/>
        </w:rPr>
        <w:t>Who:</w:t>
      </w:r>
      <w:r>
        <w:rPr>
          <w:rFonts w:cs="Calibri" w:cstheme="minorHAnsi"/>
        </w:rPr>
        <w:t> A technical service registered with a legitimate MCP instance.</w:t>
      </w:r>
    </w:p>
    <w:p>
      <w:pPr>
        <w:pStyle w:val="BodyText"/>
        <w:numPr>
          <w:ilvl w:val="0"/>
          <w:numId w:val="14"/>
        </w:numPr>
        <w:spacing w:lineRule="atLeast" w:line="216"/>
        <w:rPr>
          <w:rFonts w:cs="Calibri" w:cstheme="minorHAnsi"/>
          <w:sz w:val="22"/>
        </w:rPr>
      </w:pPr>
      <w:r>
        <w:rPr>
          <w:rStyle w:val="Strong"/>
          <w:rFonts w:cs="Calibri" w:cstheme="minorHAnsi"/>
          <w:color w:val="000000"/>
        </w:rPr>
        <w:t>Wants to:</w:t>
      </w:r>
      <w:r>
        <w:rPr>
          <w:rFonts w:cs="Calibri" w:cstheme="minorHAnsi"/>
        </w:rPr>
        <w:t> Validate the identity of a consumer registered in a different MCP domain.</w:t>
      </w:r>
    </w:p>
    <w:p>
      <w:pPr>
        <w:pStyle w:val="BodyText"/>
        <w:numPr>
          <w:ilvl w:val="0"/>
          <w:numId w:val="14"/>
        </w:numPr>
        <w:spacing w:lineRule="atLeast" w:line="216"/>
        <w:rPr>
          <w:rFonts w:cs="Calibri" w:cstheme="minorHAnsi"/>
        </w:rPr>
      </w:pPr>
      <w:r>
        <w:rPr>
          <w:rStyle w:val="Strong"/>
          <w:rFonts w:cs="Calibri" w:cstheme="minorHAnsi"/>
          <w:color w:val="000000"/>
        </w:rPr>
        <w:t>So that:</w:t>
      </w:r>
      <w:r>
        <w:rPr>
          <w:rFonts w:cs="Calibri" w:cstheme="minorHAnsi"/>
        </w:rPr>
        <w:t> It can establish a secure communication and allocate the appropriate resources.</w:t>
      </w:r>
    </w:p>
    <w:p>
      <w:pPr>
        <w:pStyle w:val="Heading3"/>
        <w:rPr/>
      </w:pPr>
      <w:r>
        <w:rPr/>
        <w:t>Description</w:t>
      </w:r>
    </w:p>
    <w:p>
      <w:pPr>
        <w:pStyle w:val="BodyText"/>
        <w:rPr>
          <w:lang w:eastAsia="de-DE"/>
        </w:rPr>
      </w:pPr>
      <w:r>
        <w:rPr>
          <w:lang w:eastAsia="de-DE"/>
        </w:rPr>
        <w:t>This particular use case can be considered as a subset of both previous A and B use cases. It involves the operations that take place when a technical service Z needs to verify the identity of a consumer W, which is registered in a different MCP domain. The reason why this interaction was initiated is irrelevant, as it forms part of multiple operations such as data retrievals, subscriptions, notifications etc. Therefore, the identity of the consumer needs to be first validated and if it belongs to a recognised and interconnected MCP domain, then the technical service should be allowed to accept the consumer as a legitimate user.</w:t>
      </w:r>
    </w:p>
    <w:p>
      <w:pPr>
        <w:pStyle w:val="Normal"/>
        <w:jc w:val="both"/>
        <w:rPr>
          <w:lang w:eastAsia="de-DE"/>
        </w:rPr>
      </w:pPr>
      <w:r>
        <w:rPr>
          <w:lang w:eastAsia="de-DE"/>
        </w:rPr>
        <w:t xml:space="preserve">A visual overview of this use case, making use of the generic environment established previously can be seen in </w:t>
      </w:r>
      <w:r>
        <w:rPr>
          <w:lang w:eastAsia="de-DE"/>
        </w:rPr>
        <w:fldChar w:fldCharType="begin"/>
      </w:r>
      <w:r>
        <w:rPr>
          <w:lang w:eastAsia="de-DE"/>
        </w:rPr>
        <w:instrText xml:space="preserve"> REF _Ref207287444 \h </w:instrText>
      </w:r>
      <w:r>
        <w:rPr>
          <w:lang w:eastAsia="de-DE"/>
        </w:rPr>
        <w:fldChar w:fldCharType="separate"/>
      </w:r>
      <w:r>
        <w:rPr>
          <w:lang w:eastAsia="de-DE"/>
        </w:rPr>
        <w:t>Figure 4</w:t>
      </w:r>
      <w:r>
        <w:rPr>
          <w:lang w:eastAsia="de-DE"/>
        </w:rPr>
        <w:fldChar w:fldCharType="end"/>
      </w:r>
      <w:r>
        <w:rPr>
          <w:lang w:eastAsia="de-DE"/>
        </w:rPr>
        <w:t>. The figure includes the numbered steps of the ordinary sequency of events.</w:t>
      </w:r>
    </w:p>
    <w:p>
      <w:pPr>
        <w:pStyle w:val="Normal"/>
        <w:keepNext w:val="true"/>
        <w:rPr/>
      </w:pPr>
      <w:r>
        <w:rPr/>
        <w:drawing>
          <wp:inline distT="0" distB="0" distL="0" distR="0">
            <wp:extent cx="5731510" cy="3290570"/>
            <wp:effectExtent l="0" t="0" r="0" b="0"/>
            <wp:docPr id="4" name="Image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3"/>
                    <pic:cNvPicPr>
                      <a:picLocks noChangeAspect="1" noChangeArrowheads="1"/>
                    </pic:cNvPicPr>
                  </pic:nvPicPr>
                  <pic:blipFill>
                    <a:blip r:embed="rId5"/>
                    <a:stretch>
                      <a:fillRect/>
                    </a:stretch>
                  </pic:blipFill>
                  <pic:spPr bwMode="auto">
                    <a:xfrm>
                      <a:off x="0" y="0"/>
                      <a:ext cx="5731510" cy="3290570"/>
                    </a:xfrm>
                    <a:prstGeom prst="rect">
                      <a:avLst/>
                    </a:prstGeom>
                    <a:noFill/>
                  </pic:spPr>
                </pic:pic>
              </a:graphicData>
            </a:graphic>
          </wp:inline>
        </w:drawing>
      </w:r>
    </w:p>
    <w:p>
      <w:pPr>
        <w:pStyle w:val="Caption"/>
        <w:jc w:val="center"/>
        <w:rPr>
          <w:lang w:eastAsia="de-DE"/>
        </w:rPr>
      </w:pPr>
      <w:bookmarkStart w:id="9" w:name="_Ref207287444"/>
      <w:r>
        <w:rPr/>
        <w:t xml:space="preserve">Figure </w:t>
      </w:r>
      <w:r>
        <w:rPr/>
        <w:fldChar w:fldCharType="begin"/>
      </w:r>
      <w:r>
        <w:rPr/>
        <w:instrText xml:space="preserve"> SEQ Figure \* ARABIC </w:instrText>
      </w:r>
      <w:r>
        <w:rPr/>
        <w:fldChar w:fldCharType="separate"/>
      </w:r>
      <w:r>
        <w:rPr/>
        <w:t>4</w:t>
      </w:r>
      <w:r>
        <w:rPr/>
        <w:fldChar w:fldCharType="end"/>
      </w:r>
      <w:bookmarkEnd w:id="9"/>
      <w:r>
        <w:rPr/>
        <w:t>: The outline of the ordinary sequence of events for Use Case C.</w:t>
      </w:r>
    </w:p>
    <w:p>
      <w:pPr>
        <w:pStyle w:val="Heading3"/>
        <w:rPr/>
      </w:pPr>
      <w:r>
        <w:rPr/>
        <w:t>Actors</w:t>
      </w:r>
    </w:p>
    <w:p>
      <w:pPr>
        <w:pStyle w:val="BodyText"/>
        <w:numPr>
          <w:ilvl w:val="0"/>
          <w:numId w:val="15"/>
        </w:numPr>
        <w:spacing w:lineRule="atLeast" w:line="216"/>
        <w:rPr>
          <w:rFonts w:cs="" w:cstheme="minorBidi"/>
          <w:szCs w:val="24"/>
        </w:rPr>
      </w:pPr>
      <w:r>
        <w:rPr/>
        <w:t>User using the consumer information system.</w:t>
      </w:r>
    </w:p>
    <w:p>
      <w:pPr>
        <w:pStyle w:val="BodyText"/>
        <w:numPr>
          <w:ilvl w:val="0"/>
          <w:numId w:val="15"/>
        </w:numPr>
        <w:spacing w:lineRule="atLeast" w:line="216"/>
        <w:rPr>
          <w:sz w:val="22"/>
        </w:rPr>
      </w:pPr>
      <w:r>
        <w:rPr/>
        <w:t>Consumer (ECDIS, Route-Planning System or other information system).</w:t>
      </w:r>
    </w:p>
    <w:p>
      <w:pPr>
        <w:pStyle w:val="BodyText"/>
        <w:numPr>
          <w:ilvl w:val="0"/>
          <w:numId w:val="15"/>
        </w:numPr>
        <w:spacing w:lineRule="atLeast" w:line="216"/>
        <w:rPr/>
      </w:pPr>
      <w:r>
        <w:rPr/>
        <w:t>Maritime Technical Service (such as for Navigational Warnings, AtoN information) in differentits own MCP domain.</w:t>
      </w:r>
    </w:p>
    <w:p>
      <w:pPr>
        <w:pStyle w:val="BodyText"/>
        <w:numPr>
          <w:ilvl w:val="0"/>
          <w:numId w:val="15"/>
        </w:numPr>
        <w:spacing w:lineRule="atLeast" w:line="216"/>
        <w:rPr/>
      </w:pPr>
      <w:r>
        <w:rPr/>
        <w:t>The MIR service of the consumer's MCP domain.</w:t>
      </w:r>
    </w:p>
    <w:p>
      <w:pPr>
        <w:pStyle w:val="BodyText"/>
        <w:numPr>
          <w:ilvl w:val="0"/>
          <w:numId w:val="15"/>
        </w:numPr>
        <w:spacing w:lineRule="atLeast" w:line="216"/>
        <w:rPr/>
      </w:pPr>
      <w:r>
        <w:rPr/>
        <w:t>The MIR service of the technical service’s MCP domain.</w:t>
      </w:r>
    </w:p>
    <w:p>
      <w:pPr>
        <w:pStyle w:val="BodyText"/>
        <w:numPr>
          <w:ilvl w:val="0"/>
          <w:numId w:val="15"/>
        </w:numPr>
        <w:spacing w:lineRule="atLeast" w:line="216"/>
        <w:jc w:val="start"/>
        <w:rPr/>
      </w:pPr>
      <w:r>
        <w:rPr/>
        <w:t>Frequency of Use</w:t>
      </w:r>
    </w:p>
    <w:p>
      <w:pPr>
        <w:pStyle w:val="Normal"/>
        <w:jc w:val="both"/>
        <w:rPr>
          <w:lang w:val="da-DK" w:eastAsia="en-US"/>
        </w:rPr>
      </w:pPr>
      <w:r>
        <w:rPr/>
        <w:t>Typically triggered when the consumer is required to send messages to services that belong to different MCP domains.</w:t>
      </w:r>
    </w:p>
    <w:p>
      <w:pPr>
        <w:pStyle w:val="Heading3"/>
        <w:rPr/>
      </w:pPr>
      <w:r>
        <w:rPr/>
        <w:t>Pre-Conditions</w:t>
      </w:r>
    </w:p>
    <w:p>
      <w:pPr>
        <w:pStyle w:val="BodyText"/>
        <w:numPr>
          <w:ilvl w:val="0"/>
          <w:numId w:val="16"/>
        </w:numPr>
        <w:spacing w:lineRule="atLeast" w:line="216"/>
        <w:rPr>
          <w:rFonts w:cs="" w:cstheme="minorBidi"/>
          <w:szCs w:val="24"/>
        </w:rPr>
      </w:pPr>
      <w:r>
        <w:rPr/>
        <w:t>The consumer is registered with a legitimate MCP instance.</w:t>
      </w:r>
    </w:p>
    <w:p>
      <w:pPr>
        <w:pStyle w:val="BodyText"/>
        <w:numPr>
          <w:ilvl w:val="0"/>
          <w:numId w:val="16"/>
        </w:numPr>
        <w:spacing w:lineRule="atLeast" w:line="216"/>
        <w:rPr>
          <w:rFonts w:cs="" w:cstheme="minorBidi"/>
          <w:szCs w:val="24"/>
        </w:rPr>
      </w:pPr>
      <w:r>
        <w:rPr/>
        <w:t>The technical service is registered with a legitimate MCP instance.</w:t>
      </w:r>
    </w:p>
    <w:p>
      <w:pPr>
        <w:pStyle w:val="BodyText"/>
        <w:numPr>
          <w:ilvl w:val="0"/>
          <w:numId w:val="16"/>
        </w:numPr>
        <w:spacing w:lineRule="atLeast" w:line="216"/>
        <w:rPr>
          <w:sz w:val="22"/>
        </w:rPr>
      </w:pPr>
      <w:r>
        <w:rPr/>
        <w:t>The consumer's MCP instance is interconnected with a compatible instance associated with a technical service, which meets the consumer’s requirements.</w:t>
      </w:r>
    </w:p>
    <w:p>
      <w:pPr>
        <w:pStyle w:val="BodyText"/>
        <w:numPr>
          <w:ilvl w:val="0"/>
          <w:numId w:val="16"/>
        </w:numPr>
        <w:spacing w:lineRule="atLeast" w:line="216"/>
        <w:rPr>
          <w:sz w:val="22"/>
        </w:rPr>
      </w:pPr>
      <w:r>
        <w:rPr/>
        <w:t>The consumer has already all the necessary knowledge on how to access the technical service.</w:t>
      </w:r>
    </w:p>
    <w:p>
      <w:pPr>
        <w:pStyle w:val="BodyText"/>
        <w:numPr>
          <w:ilvl w:val="0"/>
          <w:numId w:val="16"/>
        </w:numPr>
        <w:spacing w:lineRule="atLeast" w:line="216"/>
        <w:rPr>
          <w:rFonts w:cs="" w:cstheme="minorBidi"/>
          <w:szCs w:val="24"/>
        </w:rPr>
      </w:pPr>
      <w:r>
        <w:rPr>
          <w:rFonts w:cs="" w:cstheme="minorBidi"/>
          <w:szCs w:val="24"/>
        </w:rPr>
        <w:t>The consumer’s MCP instance provides the facilities to evaluate MCP certificates.</w:t>
      </w:r>
    </w:p>
    <w:p>
      <w:pPr>
        <w:pStyle w:val="Heading3"/>
        <w:rPr/>
      </w:pPr>
      <w:r>
        <w:rPr/>
        <w:t>Ordinary Sequence</w:t>
      </w:r>
    </w:p>
    <w:p>
      <w:pPr>
        <w:pStyle w:val="BodyText"/>
        <w:numPr>
          <w:ilvl w:val="0"/>
          <w:numId w:val="20"/>
        </w:numPr>
        <w:rPr>
          <w:lang w:eastAsia="de-DE"/>
        </w:rPr>
      </w:pPr>
      <w:r>
        <w:rPr>
          <w:lang w:eastAsia="de-DE"/>
        </w:rPr>
        <w:t>The consumer will send a relevant request, regardless of whether it is an update/response/notification, to the technical service.</w:t>
      </w:r>
    </w:p>
    <w:p>
      <w:pPr>
        <w:pStyle w:val="BodyText"/>
        <w:numPr>
          <w:ilvl w:val="0"/>
          <w:numId w:val="20"/>
        </w:numPr>
        <w:rPr>
          <w:lang w:eastAsia="de-DE"/>
        </w:rPr>
      </w:pPr>
      <w:r>
        <w:rPr>
          <w:lang w:eastAsia="de-DE"/>
        </w:rPr>
        <w:t>The technical service will receive the consumer’s request and will first have to validate the identity of the sender, through the consumer’s MCP instance (revocation list check using the MIR).</w:t>
      </w:r>
    </w:p>
    <w:p>
      <w:pPr>
        <w:pStyle w:val="BodyText"/>
        <w:numPr>
          <w:ilvl w:val="0"/>
          <w:numId w:val="20"/>
        </w:numPr>
        <w:rPr>
          <w:lang w:eastAsia="de-DE"/>
        </w:rPr>
      </w:pPr>
      <w:r>
        <w:rPr>
          <w:lang w:eastAsia="de-DE"/>
        </w:rPr>
        <w:t>Once the identity of the consumer is verified, the technical service should also check the validity of the incoming data, through the included cryptographic signatures, before proceeding to process the incoming message.</w:t>
      </w:r>
    </w:p>
    <w:p>
      <w:pPr>
        <w:pStyle w:val="Heading3"/>
        <w:rPr/>
      </w:pPr>
      <w:r>
        <w:rPr/>
        <w:t>Post-Conditions</w:t>
      </w:r>
    </w:p>
    <w:p>
      <w:pPr>
        <w:pStyle w:val="BodyText"/>
        <w:rPr/>
      </w:pPr>
      <w:r>
        <w:rPr/>
        <w:t>The consumer message is received and processed by the technical service.</w:t>
      </w:r>
    </w:p>
    <w:p>
      <w:pPr>
        <w:pStyle w:val="Heading2"/>
        <w:rPr/>
      </w:pPr>
      <w:bookmarkStart w:id="12" w:name="_Ref207354680"/>
      <w:r>
        <w:rPr/>
        <w:t>Use Case D – Technical Service Identity Validation by Consumer</w:t>
      </w:r>
      <w:bookmarkEnd w:id="12"/>
    </w:p>
    <w:p>
      <w:pPr>
        <w:pStyle w:val="BodyText"/>
        <w:numPr>
          <w:ilvl w:val="0"/>
          <w:numId w:val="14"/>
        </w:numPr>
        <w:spacing w:lineRule="atLeast" w:line="216"/>
        <w:rPr>
          <w:rFonts w:cs="Calibri" w:cstheme="minorHAnsi"/>
          <w:szCs w:val="24"/>
        </w:rPr>
      </w:pPr>
      <w:r>
        <w:rPr>
          <w:rStyle w:val="Strong"/>
          <w:rFonts w:cs="Calibri" w:cstheme="minorHAnsi"/>
          <w:color w:val="000000"/>
        </w:rPr>
        <w:t>Who:</w:t>
      </w:r>
      <w:r>
        <w:rPr>
          <w:rFonts w:cs="Calibri" w:cstheme="minorHAnsi"/>
        </w:rPr>
        <w:t> A consumer registered with a legitimate MCP instance.</w:t>
      </w:r>
    </w:p>
    <w:p>
      <w:pPr>
        <w:pStyle w:val="BodyText"/>
        <w:numPr>
          <w:ilvl w:val="0"/>
          <w:numId w:val="14"/>
        </w:numPr>
        <w:spacing w:lineRule="atLeast" w:line="216"/>
        <w:rPr>
          <w:rFonts w:cs="Calibri" w:cstheme="minorHAnsi"/>
          <w:sz w:val="22"/>
        </w:rPr>
      </w:pPr>
      <w:r>
        <w:rPr>
          <w:rStyle w:val="Strong"/>
          <w:rFonts w:cs="Calibri" w:cstheme="minorHAnsi"/>
          <w:color w:val="000000"/>
        </w:rPr>
        <w:t>Wants to:</w:t>
      </w:r>
      <w:r>
        <w:rPr>
          <w:rFonts w:cs="Calibri" w:cstheme="minorHAnsi"/>
        </w:rPr>
        <w:t> Validate the identity of a technical service registered in a different MCP domain.</w:t>
      </w:r>
    </w:p>
    <w:p>
      <w:pPr>
        <w:pStyle w:val="BodyText"/>
        <w:numPr>
          <w:ilvl w:val="0"/>
          <w:numId w:val="14"/>
        </w:numPr>
        <w:spacing w:lineRule="atLeast" w:line="216"/>
        <w:rPr>
          <w:rFonts w:cs="Calibri" w:cstheme="minorHAnsi"/>
        </w:rPr>
      </w:pPr>
      <w:r>
        <w:rPr>
          <w:rStyle w:val="Strong"/>
          <w:rFonts w:cs="Calibri" w:cstheme="minorHAnsi"/>
          <w:color w:val="000000"/>
        </w:rPr>
        <w:t>So that:</w:t>
      </w:r>
      <w:r>
        <w:rPr>
          <w:rFonts w:cs="Calibri" w:cstheme="minorHAnsi"/>
        </w:rPr>
        <w:t> It can establish a secure communication and trust the transmitted information.</w:t>
      </w:r>
    </w:p>
    <w:p>
      <w:pPr>
        <w:pStyle w:val="Heading3"/>
        <w:rPr/>
      </w:pPr>
      <w:r>
        <w:rPr/>
        <w:t>Description</w:t>
      </w:r>
    </w:p>
    <w:p>
      <w:pPr>
        <w:pStyle w:val="BodyText"/>
        <w:rPr>
          <w:lang w:eastAsia="de-DE"/>
        </w:rPr>
      </w:pPr>
      <w:r>
        <w:rPr>
          <w:lang w:eastAsia="de-DE"/>
        </w:rPr>
        <w:t>This particular use case can also be considered as a subset of both previous A and B use cases. It involves the operations that take place when a consumer W needs to verify the identity of technical service Z, which is registered in a different MCP domain. The reason why this interaction was initiated is irrelevant, as it forms part of multiple operations such as data uploads, subscriptions, notifications etc. Therefore, the identity of the technical service needs to be first validated and if it belongs to a recognisable and acknowledged MCP domain, then the consumer should be allowed to accept the technical service as legitimate.</w:t>
      </w:r>
    </w:p>
    <w:p>
      <w:pPr>
        <w:pStyle w:val="Normal"/>
        <w:jc w:val="both"/>
        <w:rPr>
          <w:lang w:eastAsia="de-DE"/>
        </w:rPr>
      </w:pPr>
      <w:r>
        <w:rPr>
          <w:lang w:eastAsia="de-DE"/>
        </w:rPr>
        <w:t xml:space="preserve">A visual overview of this use case, making use of the generic environment established previously can be seen in </w:t>
      </w:r>
      <w:r>
        <w:rPr>
          <w:lang w:eastAsia="de-DE"/>
        </w:rPr>
        <w:fldChar w:fldCharType="begin"/>
      </w:r>
      <w:r>
        <w:rPr>
          <w:lang w:eastAsia="de-DE"/>
        </w:rPr>
        <w:instrText xml:space="preserve"> REF _Ref207288208 \h </w:instrText>
      </w:r>
      <w:r>
        <w:rPr>
          <w:lang w:eastAsia="de-DE"/>
        </w:rPr>
        <w:fldChar w:fldCharType="separate"/>
      </w:r>
      <w:r>
        <w:rPr>
          <w:lang w:eastAsia="de-DE"/>
        </w:rPr>
        <w:t>Figure 5</w:t>
      </w:r>
      <w:r>
        <w:rPr>
          <w:lang w:eastAsia="de-DE"/>
        </w:rPr>
        <w:fldChar w:fldCharType="end"/>
      </w:r>
      <w:r>
        <w:rPr>
          <w:lang w:eastAsia="de-DE"/>
        </w:rPr>
        <w:t>. The figure includes the numbered steps of the ordinary sequency of events.</w:t>
      </w:r>
    </w:p>
    <w:p>
      <w:pPr>
        <w:pStyle w:val="Normal"/>
        <w:keepNext w:val="true"/>
        <w:rPr/>
      </w:pPr>
      <w:r>
        <w:rPr/>
        <w:drawing>
          <wp:inline distT="0" distB="0" distL="0" distR="0">
            <wp:extent cx="5731510" cy="3290570"/>
            <wp:effectExtent l="0" t="0" r="0" b="0"/>
            <wp:docPr id="5" name="Image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4"/>
                    <pic:cNvPicPr>
                      <a:picLocks noChangeAspect="1" noChangeArrowheads="1"/>
                    </pic:cNvPicPr>
                  </pic:nvPicPr>
                  <pic:blipFill>
                    <a:blip r:embed="rId6"/>
                    <a:stretch>
                      <a:fillRect/>
                    </a:stretch>
                  </pic:blipFill>
                  <pic:spPr bwMode="auto">
                    <a:xfrm>
                      <a:off x="0" y="0"/>
                      <a:ext cx="5731510" cy="3290570"/>
                    </a:xfrm>
                    <a:prstGeom prst="rect">
                      <a:avLst/>
                    </a:prstGeom>
                    <a:noFill/>
                  </pic:spPr>
                </pic:pic>
              </a:graphicData>
            </a:graphic>
          </wp:inline>
        </w:drawing>
      </w:r>
    </w:p>
    <w:p>
      <w:pPr>
        <w:pStyle w:val="Caption"/>
        <w:jc w:val="center"/>
        <w:rPr>
          <w:lang w:eastAsia="de-DE"/>
        </w:rPr>
      </w:pPr>
      <w:bookmarkStart w:id="13" w:name="_Ref207288208"/>
      <w:r>
        <w:rPr/>
        <w:t xml:space="preserve">Figure </w:t>
      </w:r>
      <w:r>
        <w:rPr/>
        <w:fldChar w:fldCharType="begin"/>
      </w:r>
      <w:r>
        <w:rPr/>
        <w:instrText xml:space="preserve"> SEQ Figure \* ARABIC </w:instrText>
      </w:r>
      <w:r>
        <w:rPr/>
        <w:fldChar w:fldCharType="separate"/>
      </w:r>
      <w:r>
        <w:rPr/>
        <w:t>5</w:t>
      </w:r>
      <w:r>
        <w:rPr/>
        <w:fldChar w:fldCharType="end"/>
      </w:r>
      <w:bookmarkEnd w:id="13"/>
      <w:r>
        <w:rPr/>
        <w:t>: The outline of the ordinary sequence of events for Use Case D.</w:t>
      </w:r>
    </w:p>
    <w:p>
      <w:pPr>
        <w:pStyle w:val="Heading3"/>
        <w:rPr/>
      </w:pPr>
      <w:r>
        <w:rPr/>
        <w:t>Actors</w:t>
      </w:r>
    </w:p>
    <w:p>
      <w:pPr>
        <w:pStyle w:val="BodyText"/>
        <w:numPr>
          <w:ilvl w:val="0"/>
          <w:numId w:val="15"/>
        </w:numPr>
        <w:spacing w:lineRule="atLeast" w:line="216"/>
        <w:rPr>
          <w:rFonts w:cs="" w:cstheme="minorBidi"/>
          <w:szCs w:val="24"/>
        </w:rPr>
      </w:pPr>
      <w:r>
        <w:rPr/>
        <w:t>User using the consumer information system.</w:t>
      </w:r>
    </w:p>
    <w:p>
      <w:pPr>
        <w:pStyle w:val="BodyText"/>
        <w:numPr>
          <w:ilvl w:val="0"/>
          <w:numId w:val="15"/>
        </w:numPr>
        <w:spacing w:lineRule="atLeast" w:line="216"/>
        <w:rPr>
          <w:sz w:val="22"/>
        </w:rPr>
      </w:pPr>
      <w:r>
        <w:rPr/>
        <w:t>Consumer (ECDIS, Route-Planning System or other information system).</w:t>
      </w:r>
    </w:p>
    <w:p>
      <w:pPr>
        <w:pStyle w:val="BodyText"/>
        <w:numPr>
          <w:ilvl w:val="0"/>
          <w:numId w:val="15"/>
        </w:numPr>
        <w:spacing w:lineRule="atLeast" w:line="216"/>
        <w:rPr>
          <w:sz w:val="22"/>
        </w:rPr>
      </w:pPr>
      <w:r>
        <w:rPr/>
        <w:t>Maritime Technical Service (such as for Navigational Warnings, AtoN information) in its own MCP domain.</w:t>
      </w:r>
    </w:p>
    <w:p>
      <w:pPr>
        <w:pStyle w:val="BodyText"/>
        <w:numPr>
          <w:ilvl w:val="0"/>
          <w:numId w:val="15"/>
        </w:numPr>
        <w:spacing w:lineRule="atLeast" w:line="216"/>
        <w:rPr/>
      </w:pPr>
      <w:r>
        <w:rPr/>
        <w:t>The MIR service of the consumer's MCP domain.</w:t>
      </w:r>
    </w:p>
    <w:p>
      <w:pPr>
        <w:pStyle w:val="BodyText"/>
        <w:numPr>
          <w:ilvl w:val="0"/>
          <w:numId w:val="15"/>
        </w:numPr>
        <w:spacing w:lineRule="atLeast" w:line="216"/>
        <w:rPr/>
      </w:pPr>
      <w:r>
        <w:rPr/>
        <w:t>The MIR service of the technical service’s MCP domain.</w:t>
      </w:r>
    </w:p>
    <w:p>
      <w:pPr>
        <w:pStyle w:val="Heading3"/>
        <w:rPr/>
      </w:pPr>
      <w:r>
        <w:rPr/>
        <w:t>Frequency of Use</w:t>
      </w:r>
    </w:p>
    <w:p>
      <w:pPr>
        <w:pStyle w:val="Normal"/>
        <w:jc w:val="both"/>
        <w:rPr>
          <w:lang w:val="da-DK" w:eastAsia="en-US"/>
        </w:rPr>
      </w:pPr>
      <w:r>
        <w:rPr/>
        <w:t>Typically triggered when technical services need to communicate with consumers that belong to different MCP domains.</w:t>
      </w:r>
    </w:p>
    <w:p>
      <w:pPr>
        <w:pStyle w:val="Heading3"/>
        <w:rPr/>
      </w:pPr>
      <w:r>
        <w:rPr/>
        <w:t>Pre-Conditions</w:t>
      </w:r>
    </w:p>
    <w:p>
      <w:pPr>
        <w:pStyle w:val="BodyText"/>
        <w:numPr>
          <w:ilvl w:val="0"/>
          <w:numId w:val="16"/>
        </w:numPr>
        <w:spacing w:lineRule="atLeast" w:line="216"/>
        <w:rPr>
          <w:rFonts w:cs="" w:cstheme="minorBidi"/>
          <w:szCs w:val="24"/>
        </w:rPr>
      </w:pPr>
      <w:r>
        <w:rPr/>
        <w:t>The consumer is registered with a legitimate MCP instance.</w:t>
      </w:r>
    </w:p>
    <w:p>
      <w:pPr>
        <w:pStyle w:val="BodyText"/>
        <w:numPr>
          <w:ilvl w:val="0"/>
          <w:numId w:val="16"/>
        </w:numPr>
        <w:spacing w:lineRule="atLeast" w:line="216"/>
        <w:rPr>
          <w:rFonts w:cs="" w:cstheme="minorBidi"/>
          <w:szCs w:val="24"/>
        </w:rPr>
      </w:pPr>
      <w:r>
        <w:rPr/>
        <w:t>The technical service is registered with a legitimate MCP instance.</w:t>
      </w:r>
    </w:p>
    <w:p>
      <w:pPr>
        <w:pStyle w:val="BodyText"/>
        <w:numPr>
          <w:ilvl w:val="0"/>
          <w:numId w:val="16"/>
        </w:numPr>
        <w:spacing w:lineRule="atLeast" w:line="216"/>
        <w:rPr>
          <w:sz w:val="22"/>
        </w:rPr>
      </w:pPr>
      <w:r>
        <w:rPr/>
        <w:t>The consumer's MCP instance is interconnected with a compatible instance associated with a technical service, which meets the consumer’s requirements.</w:t>
      </w:r>
    </w:p>
    <w:p>
      <w:pPr>
        <w:pStyle w:val="BodyText"/>
        <w:numPr>
          <w:ilvl w:val="0"/>
          <w:numId w:val="16"/>
        </w:numPr>
        <w:spacing w:lineRule="atLeast" w:line="216"/>
        <w:rPr>
          <w:sz w:val="22"/>
        </w:rPr>
      </w:pPr>
      <w:r>
        <w:rPr/>
        <w:t>The technical service has already all the necessary knowledge on how to access the consumer.</w:t>
      </w:r>
    </w:p>
    <w:p>
      <w:pPr>
        <w:pStyle w:val="BodyText"/>
        <w:numPr>
          <w:ilvl w:val="0"/>
          <w:numId w:val="16"/>
        </w:numPr>
        <w:spacing w:lineRule="atLeast" w:line="216"/>
        <w:rPr>
          <w:rFonts w:cs="" w:cstheme="minorBidi"/>
          <w:szCs w:val="24"/>
        </w:rPr>
      </w:pPr>
      <w:r>
        <w:rPr>
          <w:rFonts w:cs="" w:cstheme="minorBidi"/>
          <w:szCs w:val="24"/>
        </w:rPr>
        <w:t>The technical service’s MCP instance provides the facilities to evaluate MCP certificates.</w:t>
      </w:r>
    </w:p>
    <w:p>
      <w:pPr>
        <w:pStyle w:val="Heading3"/>
        <w:rPr/>
      </w:pPr>
      <w:r>
        <w:rPr/>
        <w:t>Ordinary Sequence</w:t>
      </w:r>
    </w:p>
    <w:p>
      <w:pPr>
        <w:pStyle w:val="BodyText"/>
        <w:numPr>
          <w:ilvl w:val="0"/>
          <w:numId w:val="21"/>
        </w:numPr>
        <w:rPr>
          <w:lang w:eastAsia="de-DE"/>
        </w:rPr>
      </w:pPr>
      <w:r>
        <w:rPr>
          <w:lang w:eastAsia="de-DE"/>
        </w:rPr>
        <w:t>The technical service will send a relevant request, regardless of whether it is an upload/response/notification, to the consumer.</w:t>
      </w:r>
    </w:p>
    <w:p>
      <w:pPr>
        <w:pStyle w:val="BodyText"/>
        <w:numPr>
          <w:ilvl w:val="0"/>
          <w:numId w:val="21"/>
        </w:numPr>
        <w:rPr>
          <w:lang w:eastAsia="de-DE"/>
        </w:rPr>
      </w:pPr>
      <w:r>
        <w:rPr>
          <w:lang w:eastAsia="de-DE"/>
        </w:rPr>
        <w:t>The consumer will receive the technical service message and will first have to validate the identity of the technical service, through the technical service’s MCP instance (revocation list check using the MIR).</w:t>
      </w:r>
    </w:p>
    <w:p>
      <w:pPr>
        <w:pStyle w:val="BodyText"/>
        <w:numPr>
          <w:ilvl w:val="0"/>
          <w:numId w:val="21"/>
        </w:numPr>
        <w:rPr>
          <w:lang w:eastAsia="de-DE"/>
        </w:rPr>
      </w:pPr>
      <w:r>
        <w:rPr>
          <w:lang w:eastAsia="de-DE"/>
        </w:rPr>
        <w:t>Once the identity of the technical service is verified, the consumer should also check the validity of the incoming data, through the included cryptographic signatures, before proceeding to process the incoming message.</w:t>
      </w:r>
    </w:p>
    <w:p>
      <w:pPr>
        <w:pStyle w:val="Heading3"/>
        <w:rPr/>
      </w:pPr>
      <w:r>
        <w:rPr/>
        <w:t>Post-Conditions</w:t>
      </w:r>
    </w:p>
    <w:p>
      <w:pPr>
        <w:pStyle w:val="BodyText"/>
        <w:rPr/>
      </w:pPr>
      <w:r>
        <w:rPr/>
        <w:t>The technical service message is received and processed by the consumer.</w:t>
      </w:r>
    </w:p>
    <w:p>
      <w:pPr>
        <w:pStyle w:val="Heading2"/>
        <w:rPr/>
      </w:pPr>
      <w:r>
        <w:rPr/>
        <w:t>Use Case E – Consumer Subscription to Technical Service</w:t>
      </w:r>
    </w:p>
    <w:p>
      <w:pPr>
        <w:pStyle w:val="BodyText"/>
        <w:rPr/>
      </w:pPr>
      <w:r>
        <w:rPr/>
        <w:t xml:space="preserve">This use case is fairly similar to Use Case C described in Section </w:t>
      </w:r>
      <w:r>
        <w:rPr/>
        <w:fldChar w:fldCharType="begin"/>
      </w:r>
      <w:r>
        <w:rPr/>
        <w:instrText xml:space="preserve"> REF _Ref207354644 \r \r \h </w:instrText>
      </w:r>
      <w:r>
        <w:rPr/>
        <w:fldChar w:fldCharType="separate"/>
      </w:r>
      <w:r>
        <w:rPr/>
        <w:t>2.3</w:t>
      </w:r>
      <w:r>
        <w:rPr/>
        <w:fldChar w:fldCharType="end"/>
      </w:r>
      <w:r>
        <w:rPr/>
        <w:t>, and is adequately discussed there.</w:t>
      </w:r>
    </w:p>
    <w:p>
      <w:pPr>
        <w:pStyle w:val="Heading2"/>
        <w:rPr/>
      </w:pPr>
      <w:r>
        <w:rPr/>
        <w:t>Use Case F – Technical Service Data Upload to Consumer</w:t>
      </w:r>
    </w:p>
    <w:p>
      <w:pPr>
        <w:pStyle w:val="BodyText"/>
        <w:rPr/>
      </w:pPr>
      <w:r>
        <w:rPr/>
        <w:t xml:space="preserve">This use case is fairly similar to Use Case D described in Section </w:t>
      </w:r>
      <w:r>
        <w:rPr/>
        <w:fldChar w:fldCharType="begin"/>
      </w:r>
      <w:r>
        <w:rPr/>
        <w:instrText xml:space="preserve"> REF _Ref207354680 \r \r \h </w:instrText>
      </w:r>
      <w:r>
        <w:rPr/>
        <w:fldChar w:fldCharType="separate"/>
      </w:r>
      <w:r>
        <w:rPr/>
        <w:t>2.4</w:t>
      </w:r>
      <w:r>
        <w:rPr/>
        <w:fldChar w:fldCharType="end"/>
      </w:r>
      <w:r>
        <w:rPr/>
        <w:t>, and is adequately discussed there.</w:t>
      </w:r>
    </w:p>
    <w:p>
      <w:pPr>
        <w:pStyle w:val="BodyText"/>
        <w:rPr/>
      </w:pPr>
      <w:r>
        <w:rPr/>
        <w:t>References</w:t>
      </w:r>
    </w:p>
    <w:sdt>
      <w:sdtPr>
        <w:id w:val="-573587230"/>
      </w:sdtPr>
      <w:sdtContent>
        <w:p>
          <w:pPr>
            <w:pStyle w:val="Normal"/>
            <w:rPr>
              <w:rFonts w:cs="Times New Roman"/>
              <w:sz w:val="20"/>
              <w:szCs w:val="20"/>
            </w:rPr>
          </w:pPr>
          <w:r>
            <w:fldChar w:fldCharType="begin"/>
          </w:r>
          <w:r>
            <w:rPr>
              <w:rFonts w:cs="Times New Roman"/>
              <w:sz w:val="20"/>
              <w:szCs w:val="20"/>
            </w:rPr>
            <w:instrText xml:space="preserve"> BIBLIOGRAPHY </w:instrText>
          </w:r>
          <w:r>
            <w:rPr>
              <w:rFonts w:cs="Times New Roman"/>
              <w:sz w:val="20"/>
              <w:szCs w:val="20"/>
            </w:rPr>
            <w:fldChar w:fldCharType="separate"/>
          </w:r>
          <w:r>
            <w:rPr>
              <w:rFonts w:cs="Times New Roman"/>
              <w:sz w:val="20"/>
              <w:szCs w:val="20"/>
            </w:rPr>
          </w:r>
        </w:p>
      </w:sdtContent>
    </w:sdt>
    <w:tbl>
      <w:tblPr>
        <w:tblW w:w="5000" w:type="pct"/>
        <w:jc w:val="start"/>
        <w:tblInd w:w="0" w:type="dxa"/>
        <w:tblLayout w:type="fixed"/>
        <w:tblCellMar>
          <w:top w:w="15" w:type="dxa"/>
          <w:start w:w="15" w:type="dxa"/>
          <w:bottom w:w="15" w:type="dxa"/>
          <w:end w:w="15" w:type="dxa"/>
        </w:tblCellMar>
        <w:tblLook w:val="04a0" w:noVBand="1" w:noHBand="0" w:lastColumn="0" w:firstColumn="1" w:lastRow="0" w:firstRow="1"/>
      </w:tblPr>
      <w:tblGrid>
        <w:gridCol w:w="343"/>
        <w:gridCol w:w="8683"/>
      </w:tblGrid>
      <w:tr>
        <w:trPr/>
        <w:tc>
          <w:tcPr>
            <w:tcW w:w="343" w:type="dxa"/>
            <w:tcBorders/>
          </w:tcPr>
          <w:p>
            <w:pPr>
              <w:pStyle w:val="Bibliography"/>
              <w:spacing w:before="120" w:after="120"/>
              <w:rPr>
                <w:szCs w:val="24"/>
              </w:rPr>
            </w:pPr>
            <w:r>
              <w:rPr/>
              <w:t xml:space="preserve">[1] </w:t>
            </w:r>
          </w:p>
        </w:tc>
        <w:tc>
          <w:tcPr>
            <w:tcW w:w="8683" w:type="dxa"/>
            <w:tcBorders/>
          </w:tcPr>
          <w:p>
            <w:pPr>
              <w:pStyle w:val="Bibliography"/>
              <w:spacing w:before="120" w:after="120"/>
              <w:rPr/>
            </w:pPr>
            <w:r>
              <w:rPr/>
              <w:t>IALA, “G1183 'The provision of Maritime Connectivity Platform (MCP) identities'”.</w:t>
            </w:r>
          </w:p>
        </w:tc>
      </w:tr>
      <w:tr>
        <w:trPr/>
        <w:tc>
          <w:tcPr>
            <w:tcW w:w="343" w:type="dxa"/>
            <w:tcBorders/>
          </w:tcPr>
          <w:p>
            <w:pPr>
              <w:pStyle w:val="Bibliography"/>
              <w:spacing w:before="120" w:after="120"/>
              <w:rPr/>
            </w:pPr>
            <w:r>
              <w:rPr/>
              <w:t xml:space="preserve">[2] </w:t>
            </w:r>
          </w:p>
        </w:tc>
        <w:tc>
          <w:tcPr>
            <w:tcW w:w="8683" w:type="dxa"/>
            <w:tcBorders/>
          </w:tcPr>
          <w:p>
            <w:pPr>
              <w:pStyle w:val="Bibliography"/>
              <w:spacing w:before="120" w:after="120"/>
              <w:rPr/>
            </w:pPr>
            <w:r>
              <w:rPr/>
              <w:t>IALA, “G1191 'Maritime Service Registry (MSR) – Technical Specification'”.</w:t>
            </w:r>
          </w:p>
        </w:tc>
      </w:tr>
      <w:tr>
        <w:trPr/>
        <w:tc>
          <w:tcPr>
            <w:tcW w:w="343" w:type="dxa"/>
            <w:tcBorders/>
          </w:tcPr>
          <w:p>
            <w:pPr>
              <w:pStyle w:val="Bibliography"/>
              <w:spacing w:before="120" w:after="120"/>
              <w:rPr/>
            </w:pPr>
            <w:r>
              <w:rPr/>
              <w:t xml:space="preserve">[3] </w:t>
            </w:r>
          </w:p>
        </w:tc>
        <w:tc>
          <w:tcPr>
            <w:tcW w:w="8683" w:type="dxa"/>
            <w:tcBorders/>
          </w:tcPr>
          <w:p>
            <w:pPr>
              <w:pStyle w:val="Bibliography"/>
              <w:spacing w:before="120" w:after="120"/>
              <w:rPr/>
            </w:pPr>
            <w:r>
              <w:rPr/>
              <w:t>IEC, “IEC 63173-2: Maritime navigation and radiocommunication equipment and systems - Data interfaces - Part 2: Secure communication between ship and shore (SECOM),” IEC, 2022.</w:t>
            </w:r>
          </w:p>
        </w:tc>
      </w:tr>
      <w:tr>
        <w:trPr/>
        <w:tc>
          <w:tcPr>
            <w:tcW w:w="343" w:type="dxa"/>
            <w:tcBorders/>
          </w:tcPr>
          <w:p>
            <w:pPr>
              <w:pStyle w:val="Bibliography"/>
              <w:spacing w:before="120" w:after="120"/>
              <w:rPr/>
            </w:pPr>
            <w:r>
              <w:rPr/>
              <w:t xml:space="preserve">[4] </w:t>
            </w:r>
          </w:p>
        </w:tc>
        <w:tc>
          <w:tcPr>
            <w:tcW w:w="8683" w:type="dxa"/>
            <w:tcBorders/>
          </w:tcPr>
          <w:p>
            <w:pPr>
              <w:pStyle w:val="Bibliography"/>
              <w:spacing w:before="120" w:after="120"/>
              <w:rPr/>
            </w:pPr>
            <w:r>
              <w:rPr/>
              <w:t>IALA, “G1128 'The Specification of e-Navigation Technical Services'”.</w:t>
            </w:r>
          </w:p>
        </w:tc>
      </w:tr>
    </w:tbl>
    <w:p>
      <w:pPr>
        <w:pStyle w:val="Normal"/>
        <w:rPr>
          <w:rFonts w:eastAsia="Times New Roman"/>
        </w:rPr>
      </w:pPr>
      <w:r>
        <w:rPr>
          <w:rFonts w:eastAsia="Times New Roman"/>
        </w:rPr>
      </w:r>
    </w:p>
    <w:p>
      <w:pPr>
        <w:pStyle w:val="Normal"/>
        <w:rPr>
          <w:rFonts w:cs="Times New Roman"/>
          <w:sz w:val="20"/>
          <w:szCs w:val="20"/>
        </w:rPr>
      </w:pPr>
      <w:r>
        <w:rPr>
          <w:rFonts w:cs="Times New Roman"/>
          <w:sz w:val="20"/>
          <w:szCs w:val="20"/>
        </w:rPr>
      </w:r>
    </w:p>
    <w:p>
      <w:pPr>
        <w:pStyle w:val="Normal"/>
        <w:widowControl/>
        <w:suppressAutoHyphens w:val="true"/>
        <w:bidi w:val="0"/>
        <w:spacing w:before="120" w:after="120"/>
        <w:jc w:val="start"/>
        <w:rPr/>
      </w:pPr>
      <w:r>
        <w:rPr/>
      </w:r>
      <w:r>
        <w:rPr/>
        <w:fldChar w:fldCharType="end"/>
      </w:r>
    </w:p>
    <w:p>
      <w:pPr>
        <w:pStyle w:val="Normal"/>
        <w:spacing w:before="120" w:after="120"/>
        <w:rPr>
          <w:rFonts w:ascii="Calibri" w:hAnsi="Calibri" w:cs="Calibri" w:asciiTheme="minorHAnsi" w:cstheme="minorHAnsi" w:hAnsiTheme="minorHAnsi"/>
          <w:szCs w:val="24"/>
          <w:lang w:val="en-AU"/>
        </w:rPr>
      </w:pPr>
      <w:r>
        <w:rPr>
          <w:rFonts w:cs="Calibri" w:cstheme="minorHAnsi"/>
          <w:szCs w:val="24"/>
          <w:lang w:val="en-AU"/>
        </w:rPr>
      </w:r>
    </w:p>
    <w:sectPr>
      <w:headerReference w:type="even" r:id="rId7"/>
      <w:headerReference w:type="default" r:id="rId8"/>
      <w:headerReference w:type="first" r:id="rId9"/>
      <w:footerReference w:type="even" r:id="rId10"/>
      <w:footerReference w:type="default" r:id="rId11"/>
      <w:footerReference w:type="first" r:id="rId12"/>
      <w:type w:val="nextPage"/>
      <w:pgSz w:w="11906" w:h="16838"/>
      <w:pgMar w:left="1440" w:right="1440" w:gutter="0" w:header="709" w:top="1440" w:footer="709" w:bottom="1440"/>
      <w:pgNumType w:fmt="decimal"/>
      <w:formProt w:val="false"/>
      <w:titlePg/>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1" w:characterSet="utf-8"/>
    <w:family w:val="roman"/>
    <w:pitch w:val="variable"/>
  </w:font>
  <w:font w:name="Calibri">
    <w:charset w:val="01" w:characterSet="utf-8"/>
    <w:family w:val="swiss"/>
    <w:pitch w:val="variable"/>
  </w:font>
  <w:font w:name="Arial">
    <w:charset w:val="01" w:characterSet="utf-8"/>
    <w:family w:val="swiss"/>
    <w:pitch w:val="variable"/>
  </w:font>
  <w:font w:name="Tahoma">
    <w:charset w:val="01" w:characterSet="utf-8"/>
    <w:family w:val="swiss"/>
    <w:pitch w:val="variable"/>
  </w:font>
  <w:font w:name="OpenSymbol">
    <w:altName w:val="Arial Unicode MS"/>
    <w:charset w:val="01" w:characterSet="utf-8"/>
    <w:family w:val="swiss"/>
    <w:pitch w:val="variable"/>
  </w:font>
  <w:font w:name="Courier New">
    <w:charset w:val="01" w:characterSet="utf-8"/>
    <w:family w:val="swiss"/>
    <w:pitch w:val="variable"/>
  </w:font>
  <w:font w:name="Times New Roman">
    <w:charset w:val="01" w:characterSet="utf-8"/>
    <w:family w:val="roman"/>
    <w:pitch w:val="variable"/>
  </w:font>
  <w:font w:name="Liberation Sans">
    <w:altName w:val="Arial"/>
    <w:charset w:val="01" w:characterSet="utf-8"/>
    <w:family w:val="roman"/>
    <w:pitch w:val="variable"/>
  </w:font>
  <w:font w:name="Menlo">
    <w:charset w:val="01" w:characterSet="utf-8"/>
    <w:family w:val="swiss"/>
    <w:pitch w:val="variable"/>
  </w:font>
  <w:font w:name="Arial Bold">
    <w:charset w:val="01" w:characterSet="utf-8"/>
    <w:family w:val="roman"/>
    <w:pitch w:val="variable"/>
  </w:font>
  <w:font w:name="Courier New">
    <w:charset w:val="01"/>
    <w:family w:val="modern"/>
    <w:pitch w:val="fixed"/>
  </w:font>
  <w:font w:name="Wingdings">
    <w:charset w:val="01"/>
    <w:family w:val="auto"/>
    <w:pitch w:val="variable"/>
  </w:font>
  <w:font w:name="Symbol">
    <w:charset w:val="01"/>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spacing w:before="120" w:after="120"/>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spacing w:before="120" w:after="120"/>
      <w:rPr/>
    </w:pPr>
    <w:r>
      <w:rPr/>
      <w:tab/>
    </w:r>
    <w:r>
      <w:rPr/>
      <w:fldChar w:fldCharType="begin"/>
    </w:r>
    <w:r>
      <w:rPr/>
      <w:instrText xml:space="preserve"> PAGE </w:instrText>
    </w:r>
    <w:r>
      <w:rPr/>
      <w:fldChar w:fldCharType="separate"/>
    </w:r>
    <w:r>
      <w:rPr/>
      <w:t>11</w:t>
    </w:r>
    <w:r>
      <w:rPr/>
      <w:fldChar w:fldCharType="end"/>
    </w:r>
  </w:p>
  <w:p>
    <w:pPr>
      <w:pStyle w:val="Normal"/>
      <w:widowControl/>
      <w:suppressAutoHyphens w:val="true"/>
      <w:bidi w:val="0"/>
      <w:spacing w:before="120" w:after="120"/>
      <w:jc w:val="start"/>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spacing w:before="120" w:after="120"/>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120" w:after="120"/>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120" w:after="120"/>
      <w:jc w:val="end"/>
      <w:rPr/>
    </w:pPr>
    <w:r>
      <w:rPr/>
      <w:drawing>
        <wp:anchor behindDoc="1" distT="0" distB="0" distL="114300" distR="114300" simplePos="0" locked="0" layoutInCell="0" allowOverlap="1" relativeHeight="17">
          <wp:simplePos x="0" y="0"/>
          <wp:positionH relativeFrom="column">
            <wp:posOffset>5317490</wp:posOffset>
          </wp:positionH>
          <wp:positionV relativeFrom="paragraph">
            <wp:posOffset>-321945</wp:posOffset>
          </wp:positionV>
          <wp:extent cx="483235" cy="335280"/>
          <wp:effectExtent l="0" t="0" r="0" b="0"/>
          <wp:wrapSquare wrapText="bothSides"/>
          <wp:docPr id="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4"/>
                  <pic:cNvPicPr>
                    <a:picLocks noChangeAspect="1" noChangeArrowheads="1"/>
                  </pic:cNvPicPr>
                </pic:nvPicPr>
                <pic:blipFill>
                  <a:blip r:embed="rId1"/>
                  <a:stretch>
                    <a:fillRect/>
                  </a:stretch>
                </pic:blipFill>
                <pic:spPr bwMode="auto">
                  <a:xfrm>
                    <a:off x="0" y="0"/>
                    <a:ext cx="483235" cy="335280"/>
                  </a:xfrm>
                  <a:prstGeom prst="rect">
                    <a:avLst/>
                  </a:prstGeom>
                  <a:noFill/>
                </pic:spPr>
              </pic:pic>
            </a:graphicData>
          </a:graphic>
        </wp:anchor>
      </w:drawing>
    </w:r>
  </w:p>
  <w:p>
    <w:pPr>
      <w:pStyle w:val="Normal"/>
      <w:widowControl/>
      <w:suppressAutoHyphens w:val="true"/>
      <w:bidi w:val="0"/>
      <w:spacing w:before="120" w:after="120"/>
      <w:jc w:val="start"/>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120" w:after="120"/>
      <w:jc w:val="center"/>
      <w:rPr/>
    </w:pPr>
    <w:r>
      <w:rPr/>
      <w:drawing>
        <wp:anchor behindDoc="1" distT="0" distB="0" distL="114300" distR="114300" simplePos="0" locked="0" layoutInCell="0" allowOverlap="1" relativeHeight="7">
          <wp:simplePos x="0" y="0"/>
          <wp:positionH relativeFrom="column">
            <wp:posOffset>2689225</wp:posOffset>
          </wp:positionH>
          <wp:positionV relativeFrom="paragraph">
            <wp:posOffset>-203835</wp:posOffset>
          </wp:positionV>
          <wp:extent cx="824230" cy="575945"/>
          <wp:effectExtent l="0" t="0" r="0" b="0"/>
          <wp:wrapSquare wrapText="bothSides"/>
          <wp:docPr id="7"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5"/>
                  <pic:cNvPicPr>
                    <a:picLocks noChangeAspect="1" noChangeArrowheads="1"/>
                  </pic:cNvPicPr>
                </pic:nvPicPr>
                <pic:blipFill>
                  <a:blip r:embed="rId1"/>
                  <a:stretch>
                    <a:fillRect/>
                  </a:stretch>
                </pic:blipFill>
                <pic:spPr bwMode="auto">
                  <a:xfrm>
                    <a:off x="0" y="0"/>
                    <a:ext cx="824230" cy="575945"/>
                  </a:xfrm>
                  <a:prstGeom prst="rect">
                    <a:avLst/>
                  </a:prstGeom>
                  <a:noFill/>
                </pic:spPr>
              </pic:pic>
            </a:graphicData>
          </a:graphic>
        </wp:anchor>
      </w:drawing>
    </w:r>
  </w:p>
  <w:p>
    <w:pPr>
      <w:pStyle w:val="Header"/>
      <w:jc w:val="center"/>
      <w:rPr/>
    </w:pPr>
    <w:r>
      <w:rPr/>
    </w:r>
  </w:p>
  <w:p>
    <w:pPr>
      <w:pStyle w:val="Header"/>
      <w:spacing w:before="120" w:after="120"/>
      <w:jc w:val="center"/>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pStyle w:val="Heading1"/>
      <w:lvlText w:val="%1"/>
      <w:lvlJc w:val="start"/>
      <w:pPr>
        <w:tabs>
          <w:tab w:val="num" w:pos="567"/>
        </w:tabs>
        <w:ind w:start="567" w:hanging="567"/>
      </w:pPr>
      <w:rPr/>
    </w:lvl>
    <w:lvl w:ilvl="1">
      <w:start w:val="1"/>
      <w:numFmt w:val="decimal"/>
      <w:pStyle w:val="Heading2"/>
      <w:lvlText w:val="%1.%2"/>
      <w:lvlJc w:val="start"/>
      <w:pPr>
        <w:tabs>
          <w:tab w:val="num" w:pos="851"/>
        </w:tabs>
        <w:ind w:start="851" w:hanging="851"/>
      </w:pPr>
      <w:rPr/>
    </w:lvl>
    <w:lvl w:ilvl="2">
      <w:start w:val="1"/>
      <w:numFmt w:val="decimal"/>
      <w:pStyle w:val="Heading3"/>
      <w:lvlText w:val="%1.%2.%3"/>
      <w:lvlJc w:val="start"/>
      <w:pPr>
        <w:tabs>
          <w:tab w:val="num" w:pos="992"/>
        </w:tabs>
        <w:ind w:start="992" w:hanging="992"/>
      </w:pPr>
      <w:rPr/>
    </w:lvl>
    <w:lvl w:ilvl="3">
      <w:start w:val="1"/>
      <w:numFmt w:val="decimal"/>
      <w:pStyle w:val="Heading4"/>
      <w:lvlText w:val="%1.%2.%3.%4"/>
      <w:lvlJc w:val="start"/>
      <w:pPr>
        <w:tabs>
          <w:tab w:val="num" w:pos="1134"/>
        </w:tabs>
        <w:ind w:start="1134" w:hanging="1134"/>
      </w:pPr>
      <w:rPr/>
    </w:lvl>
    <w:lvl w:ilvl="4">
      <w:start w:val="1"/>
      <w:numFmt w:val="decimal"/>
      <w:pStyle w:val="Heading5"/>
      <w:lvlText w:val="%1.%2.%3.%4.%5"/>
      <w:lvlJc w:val="start"/>
      <w:pPr>
        <w:tabs>
          <w:tab w:val="num" w:pos="1008"/>
        </w:tabs>
        <w:ind w:start="1008" w:hanging="1008"/>
      </w:pPr>
      <w:rPr/>
    </w:lvl>
    <w:lvl w:ilvl="5">
      <w:start w:val="1"/>
      <w:numFmt w:val="decimal"/>
      <w:pStyle w:val="Heading6"/>
      <w:lvlText w:val="%1.%2.%3.%4.%5.%6"/>
      <w:lvlJc w:val="start"/>
      <w:pPr>
        <w:tabs>
          <w:tab w:val="num" w:pos="1152"/>
        </w:tabs>
        <w:ind w:start="1152" w:hanging="1152"/>
      </w:pPr>
      <w:rPr/>
    </w:lvl>
    <w:lvl w:ilvl="6">
      <w:start w:val="1"/>
      <w:numFmt w:val="decimal"/>
      <w:pStyle w:val="Heading7"/>
      <w:lvlText w:val="%1.%2.%3.%4.%5.%6.%7"/>
      <w:lvlJc w:val="start"/>
      <w:pPr>
        <w:tabs>
          <w:tab w:val="num" w:pos="1296"/>
        </w:tabs>
        <w:ind w:start="1296" w:hanging="1296"/>
      </w:pPr>
      <w:rPr/>
    </w:lvl>
    <w:lvl w:ilvl="7">
      <w:start w:val="1"/>
      <w:numFmt w:val="decimal"/>
      <w:pStyle w:val="Heading8"/>
      <w:lvlText w:val="%1.%2.%3.%4.%5.%6.%7.%8"/>
      <w:lvlJc w:val="start"/>
      <w:pPr>
        <w:tabs>
          <w:tab w:val="num" w:pos="1440"/>
        </w:tabs>
        <w:ind w:start="1440" w:hanging="1440"/>
      </w:pPr>
      <w:rPr/>
    </w:lvl>
    <w:lvl w:ilvl="8">
      <w:start w:val="1"/>
      <w:numFmt w:val="decimal"/>
      <w:pStyle w:val="Heading9"/>
      <w:lvlText w:val="%1.%2.%3.%4.%5.%6.%7.%8.%9"/>
      <w:lvlJc w:val="start"/>
      <w:pPr>
        <w:tabs>
          <w:tab w:val="num" w:pos="1584"/>
        </w:tabs>
        <w:ind w:start="1584" w:hanging="1584"/>
      </w:pPr>
      <w:rPr/>
    </w:lvl>
  </w:abstractNum>
  <w:abstractNum w:abstractNumId="2">
    <w:lvl w:ilvl="0">
      <w:start w:val="1"/>
      <w:numFmt w:val="decimal"/>
      <w:lvlText w:val="Figure %1"/>
      <w:lvlJc w:val="start"/>
      <w:pPr>
        <w:tabs>
          <w:tab w:val="num" w:pos="1701"/>
        </w:tabs>
        <w:ind w:start="1701" w:hanging="1701"/>
      </w:pPr>
      <w:rPr>
        <w:rFonts w:ascii="Arial" w:hAnsi="Arial"/>
        <w:b w:val="false"/>
        <w:i/>
        <w:sz w:val="22"/>
      </w:rPr>
    </w:lvl>
    <w:lvl w:ilvl="1">
      <w:start w:val="1"/>
      <w:numFmt w:val="lowerLetter"/>
      <w:lvlText w:val="%2."/>
      <w:lvlJc w:val="start"/>
      <w:pPr>
        <w:tabs>
          <w:tab w:val="num" w:pos="1440"/>
        </w:tabs>
        <w:ind w:start="1440" w:hanging="360"/>
      </w:pPr>
      <w:rPr/>
    </w:lvl>
    <w:lvl w:ilvl="2">
      <w:start w:val="1"/>
      <w:numFmt w:val="lowerRoman"/>
      <w:lvlText w:val="%3."/>
      <w:lvlJc w:val="end"/>
      <w:pPr>
        <w:tabs>
          <w:tab w:val="num" w:pos="2160"/>
        </w:tabs>
        <w:ind w:start="2160" w:hanging="180"/>
      </w:pPr>
      <w:rPr/>
    </w:lvl>
    <w:lvl w:ilvl="3">
      <w:start w:val="1"/>
      <w:numFmt w:val="decimal"/>
      <w:lvlText w:val="%4."/>
      <w:lvlJc w:val="start"/>
      <w:pPr>
        <w:tabs>
          <w:tab w:val="num" w:pos="2880"/>
        </w:tabs>
        <w:ind w:start="2880" w:hanging="360"/>
      </w:pPr>
      <w:rPr/>
    </w:lvl>
    <w:lvl w:ilvl="4">
      <w:start w:val="1"/>
      <w:numFmt w:val="lowerLetter"/>
      <w:lvlText w:val="%5."/>
      <w:lvlJc w:val="start"/>
      <w:pPr>
        <w:tabs>
          <w:tab w:val="num" w:pos="3600"/>
        </w:tabs>
        <w:ind w:start="3600" w:hanging="360"/>
      </w:pPr>
      <w:rPr/>
    </w:lvl>
    <w:lvl w:ilvl="5">
      <w:start w:val="1"/>
      <w:numFmt w:val="lowerRoman"/>
      <w:lvlText w:val="%6."/>
      <w:lvlJc w:val="end"/>
      <w:pPr>
        <w:tabs>
          <w:tab w:val="num" w:pos="4320"/>
        </w:tabs>
        <w:ind w:start="4320" w:hanging="180"/>
      </w:pPr>
      <w:rPr/>
    </w:lvl>
    <w:lvl w:ilvl="6">
      <w:start w:val="1"/>
      <w:numFmt w:val="decimal"/>
      <w:lvlText w:val="%7."/>
      <w:lvlJc w:val="start"/>
      <w:pPr>
        <w:tabs>
          <w:tab w:val="num" w:pos="5040"/>
        </w:tabs>
        <w:ind w:start="5040" w:hanging="360"/>
      </w:pPr>
      <w:rPr/>
    </w:lvl>
    <w:lvl w:ilvl="7">
      <w:start w:val="1"/>
      <w:numFmt w:val="lowerLetter"/>
      <w:lvlText w:val="%8."/>
      <w:lvlJc w:val="start"/>
      <w:pPr>
        <w:tabs>
          <w:tab w:val="num" w:pos="5760"/>
        </w:tabs>
        <w:ind w:start="5760" w:hanging="360"/>
      </w:pPr>
      <w:rPr/>
    </w:lvl>
    <w:lvl w:ilvl="8">
      <w:start w:val="1"/>
      <w:numFmt w:val="lowerRoman"/>
      <w:lvlText w:val="%9."/>
      <w:lvlJc w:val="end"/>
      <w:pPr>
        <w:tabs>
          <w:tab w:val="num" w:pos="6480"/>
        </w:tabs>
        <w:ind w:start="6480" w:hanging="180"/>
      </w:pPr>
      <w:rPr/>
    </w:lvl>
  </w:abstractNum>
  <w:abstractNum w:abstractNumId="3">
    <w:lvl w:ilvl="0">
      <w:start w:val="1"/>
      <w:numFmt w:val="decimal"/>
      <w:lvlText w:val="%1"/>
      <w:lvlJc w:val="start"/>
      <w:pPr>
        <w:tabs>
          <w:tab w:val="num" w:pos="567"/>
        </w:tabs>
        <w:ind w:start="567" w:hanging="567"/>
      </w:pPr>
      <w:rPr>
        <w:rFonts w:ascii="Calibri" w:hAnsi="Calibri"/>
        <w:b/>
        <w:i w:val="false"/>
        <w:sz w:val="24"/>
      </w:rPr>
    </w:lvl>
    <w:lvl w:ilvl="1">
      <w:start w:val="1"/>
      <w:numFmt w:val="decimal"/>
      <w:lvlText w:val="%1.%2"/>
      <w:lvlJc w:val="start"/>
      <w:pPr>
        <w:tabs>
          <w:tab w:val="num" w:pos="851"/>
        </w:tabs>
        <w:ind w:start="851" w:hanging="851"/>
      </w:pPr>
      <w:rPr>
        <w:rFonts w:ascii="Arial Bold" w:hAnsi="Arial Bold"/>
        <w:b/>
        <w:i w:val="false"/>
        <w:sz w:val="22"/>
      </w:rPr>
    </w:lvl>
    <w:lvl w:ilvl="2">
      <w:start w:val="1"/>
      <w:numFmt w:val="decimal"/>
      <w:lvlText w:val="%2.%3.%1"/>
      <w:lvlJc w:val="start"/>
      <w:pPr>
        <w:tabs>
          <w:tab w:val="num" w:pos="992"/>
        </w:tabs>
        <w:ind w:start="992" w:hanging="992"/>
      </w:pPr>
      <w:rPr>
        <w:rFonts w:ascii="Arial" w:hAnsi="Arial"/>
        <w:b w:val="false"/>
        <w:i w:val="false"/>
        <w:sz w:val="22"/>
      </w:rPr>
    </w:lvl>
    <w:lvl w:ilvl="3">
      <w:start w:val="1"/>
      <w:numFmt w:val="decimal"/>
      <w:lvlText w:val="%1.%2.%3.%4"/>
      <w:lvlJc w:val="start"/>
      <w:pPr>
        <w:tabs>
          <w:tab w:val="num" w:pos="1134"/>
        </w:tabs>
        <w:ind w:start="1134" w:hanging="1134"/>
      </w:pPr>
      <w:rPr>
        <w:rFonts w:ascii="Arial" w:hAnsi="Arial"/>
        <w:b w:val="false"/>
        <w:i w:val="false"/>
        <w:sz w:val="22"/>
      </w:rPr>
    </w:lvl>
    <w:lvl w:ilvl="4">
      <w:start w:val="1"/>
      <w:numFmt w:val="lowerLetter"/>
      <w:lvlText w:val="(%5)"/>
      <w:lvlJc w:val="start"/>
      <w:pPr>
        <w:tabs>
          <w:tab w:val="num" w:pos="0"/>
        </w:tabs>
        <w:ind w:start="1800" w:hanging="360"/>
      </w:pPr>
      <w:rPr/>
    </w:lvl>
    <w:lvl w:ilvl="5">
      <w:start w:val="1"/>
      <w:numFmt w:val="lowerRoman"/>
      <w:lvlText w:val="(%6)"/>
      <w:lvlJc w:val="start"/>
      <w:pPr>
        <w:tabs>
          <w:tab w:val="num" w:pos="0"/>
        </w:tabs>
        <w:ind w:start="2160" w:hanging="360"/>
      </w:pPr>
      <w:rPr/>
    </w:lvl>
    <w:lvl w:ilvl="6">
      <w:start w:val="1"/>
      <w:numFmt w:val="decimal"/>
      <w:lvlText w:val="%7."/>
      <w:lvlJc w:val="start"/>
      <w:pPr>
        <w:tabs>
          <w:tab w:val="num" w:pos="0"/>
        </w:tabs>
        <w:ind w:start="2520" w:hanging="360"/>
      </w:pPr>
      <w:rPr/>
    </w:lvl>
    <w:lvl w:ilvl="7">
      <w:start w:val="1"/>
      <w:numFmt w:val="lowerLetter"/>
      <w:lvlText w:val="%8."/>
      <w:lvlJc w:val="start"/>
      <w:pPr>
        <w:tabs>
          <w:tab w:val="num" w:pos="0"/>
        </w:tabs>
        <w:ind w:start="2880" w:hanging="360"/>
      </w:pPr>
      <w:rPr/>
    </w:lvl>
    <w:lvl w:ilvl="8">
      <w:start w:val="1"/>
      <w:numFmt w:val="lowerRoman"/>
      <w:lvlText w:val="%9."/>
      <w:lvlJc w:val="start"/>
      <w:pPr>
        <w:tabs>
          <w:tab w:val="num" w:pos="0"/>
        </w:tabs>
        <w:ind w:start="3240" w:hanging="360"/>
      </w:pPr>
      <w:rPr/>
    </w:lvl>
  </w:abstractNum>
  <w:abstractNum w:abstractNumId="4">
    <w:lvl w:ilvl="0">
      <w:start w:val="1"/>
      <w:numFmt w:val="decimal"/>
      <w:lvlText w:val="Table %1"/>
      <w:lvlJc w:val="start"/>
      <w:pPr>
        <w:tabs>
          <w:tab w:val="num" w:pos="1134"/>
        </w:tabs>
        <w:ind w:start="1134" w:hanging="1134"/>
      </w:pPr>
      <w:rPr>
        <w:rFonts w:ascii="Arial" w:hAnsi="Arial"/>
        <w:b w:val="false"/>
        <w:i/>
        <w:sz w:val="22"/>
      </w:rPr>
    </w:lvl>
    <w:lvl w:ilvl="1">
      <w:start w:val="1"/>
      <w:numFmt w:val="lowerLetter"/>
      <w:lvlText w:val="%2."/>
      <w:lvlJc w:val="start"/>
      <w:pPr>
        <w:tabs>
          <w:tab w:val="num" w:pos="1440"/>
        </w:tabs>
        <w:ind w:start="1440" w:hanging="360"/>
      </w:pPr>
      <w:rPr/>
    </w:lvl>
    <w:lvl w:ilvl="2">
      <w:start w:val="1"/>
      <w:numFmt w:val="lowerRoman"/>
      <w:lvlText w:val="%3."/>
      <w:lvlJc w:val="end"/>
      <w:pPr>
        <w:tabs>
          <w:tab w:val="num" w:pos="2160"/>
        </w:tabs>
        <w:ind w:start="2160" w:hanging="180"/>
      </w:pPr>
      <w:rPr/>
    </w:lvl>
    <w:lvl w:ilvl="3">
      <w:start w:val="1"/>
      <w:numFmt w:val="decimal"/>
      <w:lvlText w:val="%4."/>
      <w:lvlJc w:val="start"/>
      <w:pPr>
        <w:tabs>
          <w:tab w:val="num" w:pos="2880"/>
        </w:tabs>
        <w:ind w:start="2880" w:hanging="360"/>
      </w:pPr>
      <w:rPr/>
    </w:lvl>
    <w:lvl w:ilvl="4">
      <w:start w:val="1"/>
      <w:numFmt w:val="lowerLetter"/>
      <w:lvlText w:val="%5."/>
      <w:lvlJc w:val="start"/>
      <w:pPr>
        <w:tabs>
          <w:tab w:val="num" w:pos="3600"/>
        </w:tabs>
        <w:ind w:start="3600" w:hanging="360"/>
      </w:pPr>
      <w:rPr/>
    </w:lvl>
    <w:lvl w:ilvl="5">
      <w:start w:val="1"/>
      <w:numFmt w:val="lowerRoman"/>
      <w:lvlText w:val="%6."/>
      <w:lvlJc w:val="end"/>
      <w:pPr>
        <w:tabs>
          <w:tab w:val="num" w:pos="4320"/>
        </w:tabs>
        <w:ind w:start="4320" w:hanging="180"/>
      </w:pPr>
      <w:rPr/>
    </w:lvl>
    <w:lvl w:ilvl="6">
      <w:start w:val="1"/>
      <w:numFmt w:val="decimal"/>
      <w:lvlText w:val="%7."/>
      <w:lvlJc w:val="start"/>
      <w:pPr>
        <w:tabs>
          <w:tab w:val="num" w:pos="5040"/>
        </w:tabs>
        <w:ind w:start="5040" w:hanging="360"/>
      </w:pPr>
      <w:rPr/>
    </w:lvl>
    <w:lvl w:ilvl="7">
      <w:start w:val="1"/>
      <w:numFmt w:val="lowerLetter"/>
      <w:lvlText w:val="%8."/>
      <w:lvlJc w:val="start"/>
      <w:pPr>
        <w:tabs>
          <w:tab w:val="num" w:pos="5760"/>
        </w:tabs>
        <w:ind w:start="5760" w:hanging="360"/>
      </w:pPr>
      <w:rPr/>
    </w:lvl>
    <w:lvl w:ilvl="8">
      <w:start w:val="1"/>
      <w:numFmt w:val="lowerRoman"/>
      <w:lvlText w:val="%9."/>
      <w:lvlJc w:val="end"/>
      <w:pPr>
        <w:tabs>
          <w:tab w:val="num" w:pos="6480"/>
        </w:tabs>
        <w:ind w:start="6480" w:hanging="180"/>
      </w:pPr>
      <w:rPr/>
    </w:lvl>
  </w:abstractNum>
  <w:abstractNum w:abstractNumId="5">
    <w:lvl w:ilvl="0">
      <w:start w:val="1"/>
      <w:numFmt w:val="decimal"/>
      <w:lvlText w:val="%1"/>
      <w:lvlJc w:val="start"/>
      <w:pPr>
        <w:tabs>
          <w:tab w:val="num" w:pos="567"/>
        </w:tabs>
        <w:ind w:start="567" w:hanging="567"/>
      </w:pPr>
      <w:rPr>
        <w:rFonts w:ascii="Arial" w:hAnsi="Arial"/>
        <w:b/>
        <w:i w:val="false"/>
        <w:sz w:val="24"/>
      </w:rPr>
    </w:lvl>
    <w:lvl w:ilvl="1">
      <w:start w:val="1"/>
      <w:numFmt w:val="decimal"/>
      <w:lvlText w:val="%1.%2"/>
      <w:lvlJc w:val="start"/>
      <w:pPr>
        <w:tabs>
          <w:tab w:val="num" w:pos="851"/>
        </w:tabs>
        <w:ind w:start="851" w:hanging="851"/>
      </w:pPr>
      <w:rPr>
        <w:rFonts w:ascii="Arial" w:hAnsi="Arial"/>
        <w:b/>
        <w:i w:val="false"/>
        <w:sz w:val="22"/>
      </w:rPr>
    </w:lvl>
    <w:lvl w:ilvl="2">
      <w:start w:val="1"/>
      <w:numFmt w:val="decimal"/>
      <w:lvlText w:val="%1.%2.%3"/>
      <w:lvlJc w:val="start"/>
      <w:pPr>
        <w:tabs>
          <w:tab w:val="num" w:pos="992"/>
        </w:tabs>
        <w:ind w:start="992" w:hanging="992"/>
      </w:pPr>
      <w:rPr>
        <w:rFonts w:ascii="Arial" w:hAnsi="Arial"/>
        <w:b w:val="false"/>
        <w:i w:val="false"/>
        <w:sz w:val="22"/>
      </w:rPr>
    </w:lvl>
    <w:lvl w:ilvl="3">
      <w:start w:val="1"/>
      <w:numFmt w:val="decimal"/>
      <w:lvlText w:val="%1.%2.%3.%4"/>
      <w:lvlJc w:val="start"/>
      <w:pPr>
        <w:tabs>
          <w:tab w:val="num" w:pos="1134"/>
        </w:tabs>
        <w:ind w:start="1134" w:hanging="1134"/>
      </w:pPr>
      <w:rPr>
        <w:rFonts w:ascii="Arial" w:hAnsi="Arial"/>
        <w:b w:val="false"/>
        <w:i w:val="false"/>
        <w:sz w:val="22"/>
      </w:rPr>
    </w:lvl>
    <w:lvl w:ilvl="4">
      <w:start w:val="1"/>
      <w:numFmt w:val="decimal"/>
      <w:lvlText w:val="%1.%2.%3.%4.%5."/>
      <w:lvlJc w:val="start"/>
      <w:pPr>
        <w:tabs>
          <w:tab w:val="num" w:pos="0"/>
        </w:tabs>
        <w:ind w:start="2232" w:hanging="792"/>
      </w:pPr>
      <w:rPr/>
    </w:lvl>
    <w:lvl w:ilvl="5">
      <w:start w:val="1"/>
      <w:numFmt w:val="decimal"/>
      <w:lvlText w:val="%1.%2.%3.%4.%5.%6."/>
      <w:lvlJc w:val="start"/>
      <w:pPr>
        <w:tabs>
          <w:tab w:val="num" w:pos="0"/>
        </w:tabs>
        <w:ind w:start="2736" w:hanging="936"/>
      </w:pPr>
      <w:rPr/>
    </w:lvl>
    <w:lvl w:ilvl="6">
      <w:start w:val="1"/>
      <w:numFmt w:val="decimal"/>
      <w:lvlText w:val="%1.%2.%3.%4.%5.%6.%7."/>
      <w:lvlJc w:val="start"/>
      <w:pPr>
        <w:tabs>
          <w:tab w:val="num" w:pos="0"/>
        </w:tabs>
        <w:ind w:start="3240" w:hanging="1080"/>
      </w:pPr>
      <w:rPr/>
    </w:lvl>
    <w:lvl w:ilvl="7">
      <w:start w:val="1"/>
      <w:numFmt w:val="decimal"/>
      <w:lvlText w:val="%1.%2.%3.%4.%5.%6.%7.%8."/>
      <w:lvlJc w:val="start"/>
      <w:pPr>
        <w:tabs>
          <w:tab w:val="num" w:pos="0"/>
        </w:tabs>
        <w:ind w:start="3744" w:hanging="1224"/>
      </w:pPr>
      <w:rPr/>
    </w:lvl>
    <w:lvl w:ilvl="8">
      <w:start w:val="1"/>
      <w:numFmt w:val="decimal"/>
      <w:lvlText w:val="%1.%2.%3.%4.%5.%6.%7.%8.%9."/>
      <w:lvlJc w:val="start"/>
      <w:pPr>
        <w:tabs>
          <w:tab w:val="num" w:pos="0"/>
        </w:tabs>
        <w:ind w:start="4320" w:hanging="1440"/>
      </w:pPr>
      <w:rPr/>
    </w:lvl>
  </w:abstractNum>
  <w:abstractNum w:abstractNumId="6">
    <w:lvl w:ilvl="0">
      <w:start w:val="1"/>
      <w:numFmt w:val="bullet"/>
      <w:lvlText w:val="-"/>
      <w:lvlJc w:val="start"/>
      <w:pPr>
        <w:tabs>
          <w:tab w:val="num" w:pos="0"/>
        </w:tabs>
        <w:ind w:start="2421" w:hanging="360"/>
      </w:pPr>
      <w:rPr>
        <w:rFonts w:ascii="Arial" w:hAnsi="Arial" w:cs="Arial" w:hint="default"/>
      </w:rPr>
    </w:lvl>
    <w:lvl w:ilvl="1">
      <w:start w:val="1"/>
      <w:numFmt w:val="bullet"/>
      <w:lvlText w:val="o"/>
      <w:lvlJc w:val="start"/>
      <w:pPr>
        <w:tabs>
          <w:tab w:val="num" w:pos="0"/>
        </w:tabs>
        <w:ind w:start="3141" w:hanging="360"/>
      </w:pPr>
      <w:rPr>
        <w:rFonts w:ascii="Courier New" w:hAnsi="Courier New" w:cs="Courier New" w:hint="default"/>
      </w:rPr>
    </w:lvl>
    <w:lvl w:ilvl="2">
      <w:start w:val="1"/>
      <w:numFmt w:val="bullet"/>
      <w:lvlText w:val=""/>
      <w:lvlJc w:val="start"/>
      <w:pPr>
        <w:tabs>
          <w:tab w:val="num" w:pos="0"/>
        </w:tabs>
        <w:ind w:start="3861" w:hanging="360"/>
      </w:pPr>
      <w:rPr>
        <w:rFonts w:ascii="Wingdings" w:hAnsi="Wingdings" w:cs="Wingdings" w:hint="default"/>
      </w:rPr>
    </w:lvl>
    <w:lvl w:ilvl="3">
      <w:start w:val="1"/>
      <w:numFmt w:val="bullet"/>
      <w:lvlText w:val=""/>
      <w:lvlJc w:val="start"/>
      <w:pPr>
        <w:tabs>
          <w:tab w:val="num" w:pos="0"/>
        </w:tabs>
        <w:ind w:start="4581" w:hanging="360"/>
      </w:pPr>
      <w:rPr>
        <w:rFonts w:ascii="Symbol" w:hAnsi="Symbol" w:cs="Symbol" w:hint="default"/>
      </w:rPr>
    </w:lvl>
    <w:lvl w:ilvl="4">
      <w:start w:val="1"/>
      <w:numFmt w:val="bullet"/>
      <w:lvlText w:val="o"/>
      <w:lvlJc w:val="start"/>
      <w:pPr>
        <w:tabs>
          <w:tab w:val="num" w:pos="0"/>
        </w:tabs>
        <w:ind w:start="5301" w:hanging="360"/>
      </w:pPr>
      <w:rPr>
        <w:rFonts w:ascii="Courier New" w:hAnsi="Courier New" w:cs="Courier New" w:hint="default"/>
      </w:rPr>
    </w:lvl>
    <w:lvl w:ilvl="5">
      <w:start w:val="1"/>
      <w:numFmt w:val="bullet"/>
      <w:lvlText w:val=""/>
      <w:lvlJc w:val="start"/>
      <w:pPr>
        <w:tabs>
          <w:tab w:val="num" w:pos="0"/>
        </w:tabs>
        <w:ind w:start="6021" w:hanging="360"/>
      </w:pPr>
      <w:rPr>
        <w:rFonts w:ascii="Wingdings" w:hAnsi="Wingdings" w:cs="Wingdings" w:hint="default"/>
      </w:rPr>
    </w:lvl>
    <w:lvl w:ilvl="6">
      <w:start w:val="1"/>
      <w:numFmt w:val="bullet"/>
      <w:lvlText w:val=""/>
      <w:lvlJc w:val="start"/>
      <w:pPr>
        <w:tabs>
          <w:tab w:val="num" w:pos="0"/>
        </w:tabs>
        <w:ind w:start="6741" w:hanging="360"/>
      </w:pPr>
      <w:rPr>
        <w:rFonts w:ascii="Symbol" w:hAnsi="Symbol" w:cs="Symbol" w:hint="default"/>
      </w:rPr>
    </w:lvl>
    <w:lvl w:ilvl="7">
      <w:start w:val="1"/>
      <w:numFmt w:val="bullet"/>
      <w:lvlText w:val="o"/>
      <w:lvlJc w:val="start"/>
      <w:pPr>
        <w:tabs>
          <w:tab w:val="num" w:pos="0"/>
        </w:tabs>
        <w:ind w:start="7461" w:hanging="360"/>
      </w:pPr>
      <w:rPr>
        <w:rFonts w:ascii="Courier New" w:hAnsi="Courier New" w:cs="Courier New" w:hint="default"/>
      </w:rPr>
    </w:lvl>
    <w:lvl w:ilvl="8">
      <w:start w:val="1"/>
      <w:numFmt w:val="bullet"/>
      <w:lvlText w:val=""/>
      <w:lvlJc w:val="start"/>
      <w:pPr>
        <w:tabs>
          <w:tab w:val="num" w:pos="0"/>
        </w:tabs>
        <w:ind w:start="8181" w:hanging="360"/>
      </w:pPr>
      <w:rPr>
        <w:rFonts w:ascii="Wingdings" w:hAnsi="Wingdings" w:cs="Wingdings" w:hint="default"/>
      </w:rPr>
    </w:lvl>
  </w:abstractNum>
  <w:abstractNum w:abstractNumId="7">
    <w:lvl w:ilvl="0">
      <w:start w:val="1"/>
      <w:numFmt w:val="decimal"/>
      <w:lvlText w:val="Figure %1"/>
      <w:lvlJc w:val="start"/>
      <w:pPr>
        <w:tabs>
          <w:tab w:val="num" w:pos="1134"/>
        </w:tabs>
        <w:ind w:start="1134" w:hanging="1134"/>
      </w:pPr>
      <w:rPr>
        <w:rFonts w:ascii="Calibri" w:hAnsi="Calibri"/>
        <w:b w:val="false"/>
        <w:i/>
        <w:sz w:val="22"/>
      </w:rPr>
    </w:lvl>
    <w:lvl w:ilvl="1">
      <w:start w:val="1"/>
      <w:numFmt w:val="decimal"/>
      <w:lvlText w:val="%2."/>
      <w:lvlJc w:val="start"/>
      <w:pPr>
        <w:tabs>
          <w:tab w:val="num" w:pos="1080"/>
        </w:tabs>
        <w:ind w:start="1080" w:hanging="360"/>
      </w:pPr>
      <w:rPr/>
    </w:lvl>
    <w:lvl w:ilvl="2">
      <w:start w:val="1"/>
      <w:numFmt w:val="decimal"/>
      <w:lvlText w:val="%3."/>
      <w:lvlJc w:val="start"/>
      <w:pPr>
        <w:tabs>
          <w:tab w:val="num" w:pos="1440"/>
        </w:tabs>
        <w:ind w:start="1440" w:hanging="360"/>
      </w:pPr>
      <w:rPr/>
    </w:lvl>
    <w:lvl w:ilvl="3">
      <w:start w:val="1"/>
      <w:numFmt w:val="decimal"/>
      <w:lvlText w:val="%4."/>
      <w:lvlJc w:val="start"/>
      <w:pPr>
        <w:tabs>
          <w:tab w:val="num" w:pos="1800"/>
        </w:tabs>
        <w:ind w:start="1800" w:hanging="360"/>
      </w:pPr>
      <w:rPr/>
    </w:lvl>
    <w:lvl w:ilvl="4">
      <w:start w:val="1"/>
      <w:numFmt w:val="decimal"/>
      <w:lvlText w:val="%5."/>
      <w:lvlJc w:val="start"/>
      <w:pPr>
        <w:tabs>
          <w:tab w:val="num" w:pos="2160"/>
        </w:tabs>
        <w:ind w:start="2160" w:hanging="360"/>
      </w:pPr>
      <w:rPr/>
    </w:lvl>
    <w:lvl w:ilvl="5">
      <w:start w:val="1"/>
      <w:numFmt w:val="decimal"/>
      <w:lvlText w:val="%6."/>
      <w:lvlJc w:val="start"/>
      <w:pPr>
        <w:tabs>
          <w:tab w:val="num" w:pos="2520"/>
        </w:tabs>
        <w:ind w:start="2520" w:hanging="360"/>
      </w:pPr>
      <w:rPr/>
    </w:lvl>
    <w:lvl w:ilvl="6">
      <w:start w:val="1"/>
      <w:numFmt w:val="decimal"/>
      <w:lvlText w:val="%7."/>
      <w:lvlJc w:val="start"/>
      <w:pPr>
        <w:tabs>
          <w:tab w:val="num" w:pos="2880"/>
        </w:tabs>
        <w:ind w:start="2880" w:hanging="360"/>
      </w:pPr>
      <w:rPr/>
    </w:lvl>
    <w:lvl w:ilvl="7">
      <w:start w:val="1"/>
      <w:numFmt w:val="decimal"/>
      <w:lvlText w:val="%8."/>
      <w:lvlJc w:val="start"/>
      <w:pPr>
        <w:tabs>
          <w:tab w:val="num" w:pos="3240"/>
        </w:tabs>
        <w:ind w:start="3240" w:hanging="360"/>
      </w:pPr>
      <w:rPr/>
    </w:lvl>
    <w:lvl w:ilvl="8">
      <w:start w:val="1"/>
      <w:numFmt w:val="decimal"/>
      <w:lvlText w:val="%9."/>
      <w:lvlJc w:val="start"/>
      <w:pPr>
        <w:tabs>
          <w:tab w:val="num" w:pos="3600"/>
        </w:tabs>
        <w:ind w:start="3600" w:hanging="360"/>
      </w:pPr>
      <w:rPr/>
    </w:lvl>
  </w:abstractNum>
  <w:abstractNum w:abstractNumId="8">
    <w:lvl w:ilvl="0">
      <w:start w:val="1"/>
      <w:numFmt w:val="decimal"/>
      <w:lvlText w:val="[%1]"/>
      <w:lvlJc w:val="start"/>
      <w:pPr>
        <w:tabs>
          <w:tab w:val="num" w:pos="567"/>
        </w:tabs>
        <w:ind w:start="567" w:hanging="567"/>
      </w:pPr>
      <w:rPr>
        <w:rFonts w:ascii="Calibri" w:hAnsi="Calibri"/>
        <w:b w:val="false"/>
        <w:i w:val="false"/>
        <w:sz w:val="22"/>
      </w:rPr>
    </w:lvl>
    <w:lvl w:ilvl="1">
      <w:start w:val="1"/>
      <w:numFmt w:val="lowerLetter"/>
      <w:lvlText w:val="%2."/>
      <w:lvlJc w:val="start"/>
      <w:pPr>
        <w:tabs>
          <w:tab w:val="num" w:pos="0"/>
        </w:tabs>
        <w:ind w:start="1440" w:hanging="360"/>
      </w:pPr>
      <w:rPr/>
    </w:lvl>
    <w:lvl w:ilvl="2">
      <w:start w:val="1"/>
      <w:numFmt w:val="lowerRoman"/>
      <w:lvlText w:val="%3."/>
      <w:lvlJc w:val="end"/>
      <w:pPr>
        <w:tabs>
          <w:tab w:val="num" w:pos="0"/>
        </w:tabs>
        <w:ind w:start="2160" w:hanging="180"/>
      </w:pPr>
      <w:rPr/>
    </w:lvl>
    <w:lvl w:ilvl="3">
      <w:start w:val="1"/>
      <w:numFmt w:val="decimal"/>
      <w:lvlText w:val="%4."/>
      <w:lvlJc w:val="start"/>
      <w:pPr>
        <w:tabs>
          <w:tab w:val="num" w:pos="0"/>
        </w:tabs>
        <w:ind w:start="2880" w:hanging="360"/>
      </w:pPr>
      <w:rPr/>
    </w:lvl>
    <w:lvl w:ilvl="4">
      <w:start w:val="1"/>
      <w:numFmt w:val="lowerLetter"/>
      <w:lvlText w:val="%5."/>
      <w:lvlJc w:val="start"/>
      <w:pPr>
        <w:tabs>
          <w:tab w:val="num" w:pos="0"/>
        </w:tabs>
        <w:ind w:start="3600" w:hanging="360"/>
      </w:pPr>
      <w:rPr/>
    </w:lvl>
    <w:lvl w:ilvl="5">
      <w:start w:val="1"/>
      <w:numFmt w:val="lowerRoman"/>
      <w:lvlText w:val="%6."/>
      <w:lvlJc w:val="end"/>
      <w:pPr>
        <w:tabs>
          <w:tab w:val="num" w:pos="0"/>
        </w:tabs>
        <w:ind w:start="4320" w:hanging="180"/>
      </w:pPr>
      <w:rPr/>
    </w:lvl>
    <w:lvl w:ilvl="6">
      <w:start w:val="1"/>
      <w:numFmt w:val="decimal"/>
      <w:lvlText w:val="%7."/>
      <w:lvlJc w:val="start"/>
      <w:pPr>
        <w:tabs>
          <w:tab w:val="num" w:pos="0"/>
        </w:tabs>
        <w:ind w:start="5040" w:hanging="360"/>
      </w:pPr>
      <w:rPr/>
    </w:lvl>
    <w:lvl w:ilvl="7">
      <w:start w:val="1"/>
      <w:numFmt w:val="lowerLetter"/>
      <w:lvlText w:val="%8."/>
      <w:lvlJc w:val="start"/>
      <w:pPr>
        <w:tabs>
          <w:tab w:val="num" w:pos="0"/>
        </w:tabs>
        <w:ind w:start="5760" w:hanging="360"/>
      </w:pPr>
      <w:rPr/>
    </w:lvl>
    <w:lvl w:ilvl="8">
      <w:start w:val="1"/>
      <w:numFmt w:val="lowerRoman"/>
      <w:lvlText w:val="%9."/>
      <w:lvlJc w:val="end"/>
      <w:pPr>
        <w:tabs>
          <w:tab w:val="num" w:pos="0"/>
        </w:tabs>
        <w:ind w:start="6480" w:hanging="180"/>
      </w:pPr>
      <w:rPr/>
    </w:lvl>
  </w:abstractNum>
  <w:abstractNum w:abstractNumId="9">
    <w:lvl w:ilvl="0">
      <w:start w:val="1"/>
      <w:numFmt w:val="decimal"/>
      <w:lvlText w:val="Table %1"/>
      <w:lvlJc w:val="start"/>
      <w:pPr>
        <w:tabs>
          <w:tab w:val="num" w:pos="1134"/>
        </w:tabs>
        <w:ind w:start="1134" w:hanging="1134"/>
      </w:pPr>
      <w:rPr/>
    </w:lvl>
    <w:lvl w:ilvl="1">
      <w:start w:val="1"/>
      <w:numFmt w:val="lowerLetter"/>
      <w:lvlText w:val="%2."/>
      <w:lvlJc w:val="start"/>
      <w:pPr>
        <w:tabs>
          <w:tab w:val="num" w:pos="1440"/>
        </w:tabs>
        <w:ind w:start="1440" w:hanging="360"/>
      </w:pPr>
      <w:rPr/>
    </w:lvl>
    <w:lvl w:ilvl="2">
      <w:start w:val="1"/>
      <w:numFmt w:val="lowerRoman"/>
      <w:lvlText w:val="%3."/>
      <w:lvlJc w:val="end"/>
      <w:pPr>
        <w:tabs>
          <w:tab w:val="num" w:pos="2160"/>
        </w:tabs>
        <w:ind w:start="2160" w:hanging="180"/>
      </w:pPr>
      <w:rPr/>
    </w:lvl>
    <w:lvl w:ilvl="3">
      <w:start w:val="1"/>
      <w:numFmt w:val="decimal"/>
      <w:lvlText w:val="%4."/>
      <w:lvlJc w:val="start"/>
      <w:pPr>
        <w:tabs>
          <w:tab w:val="num" w:pos="2880"/>
        </w:tabs>
        <w:ind w:start="2880" w:hanging="360"/>
      </w:pPr>
      <w:rPr/>
    </w:lvl>
    <w:lvl w:ilvl="4">
      <w:start w:val="1"/>
      <w:numFmt w:val="lowerLetter"/>
      <w:lvlText w:val="%5."/>
      <w:lvlJc w:val="start"/>
      <w:pPr>
        <w:tabs>
          <w:tab w:val="num" w:pos="3600"/>
        </w:tabs>
        <w:ind w:start="3600" w:hanging="360"/>
      </w:pPr>
      <w:rPr/>
    </w:lvl>
    <w:lvl w:ilvl="5">
      <w:start w:val="1"/>
      <w:numFmt w:val="lowerRoman"/>
      <w:lvlText w:val="%6."/>
      <w:lvlJc w:val="end"/>
      <w:pPr>
        <w:tabs>
          <w:tab w:val="num" w:pos="4320"/>
        </w:tabs>
        <w:ind w:start="4320" w:hanging="180"/>
      </w:pPr>
      <w:rPr/>
    </w:lvl>
    <w:lvl w:ilvl="6">
      <w:start w:val="1"/>
      <w:numFmt w:val="decimal"/>
      <w:lvlText w:val="%7."/>
      <w:lvlJc w:val="start"/>
      <w:pPr>
        <w:tabs>
          <w:tab w:val="num" w:pos="5040"/>
        </w:tabs>
        <w:ind w:start="5040" w:hanging="360"/>
      </w:pPr>
      <w:rPr/>
    </w:lvl>
    <w:lvl w:ilvl="7">
      <w:start w:val="1"/>
      <w:numFmt w:val="lowerLetter"/>
      <w:lvlText w:val="%8."/>
      <w:lvlJc w:val="start"/>
      <w:pPr>
        <w:tabs>
          <w:tab w:val="num" w:pos="5760"/>
        </w:tabs>
        <w:ind w:start="5760" w:hanging="360"/>
      </w:pPr>
      <w:rPr/>
    </w:lvl>
    <w:lvl w:ilvl="8">
      <w:start w:val="1"/>
      <w:numFmt w:val="lowerRoman"/>
      <w:lvlText w:val="%9."/>
      <w:lvlJc w:val="end"/>
      <w:pPr>
        <w:tabs>
          <w:tab w:val="num" w:pos="6480"/>
        </w:tabs>
        <w:ind w:start="6480" w:hanging="180"/>
      </w:pPr>
      <w:rPr/>
    </w:lvl>
  </w:abstractNum>
  <w:abstractNum w:abstractNumId="10">
    <w:lvl w:ilvl="0">
      <w:start w:val="1"/>
      <w:numFmt w:val="decimal"/>
      <w:lvlText w:val="%1"/>
      <w:lvlJc w:val="start"/>
      <w:pPr>
        <w:tabs>
          <w:tab w:val="num" w:pos="567"/>
        </w:tabs>
        <w:ind w:start="567" w:hanging="567"/>
      </w:pPr>
      <w:rPr>
        <w:rFonts w:ascii="Calibri" w:hAnsi="Calibri"/>
        <w:b w:val="false"/>
        <w:i w:val="false"/>
        <w:sz w:val="22"/>
        <w:szCs w:val="22"/>
      </w:rPr>
    </w:lvl>
    <w:lvl w:ilvl="1">
      <w:start w:val="1"/>
      <w:numFmt w:val="lowerLetter"/>
      <w:lvlText w:val="%2."/>
      <w:lvlJc w:val="start"/>
      <w:pPr>
        <w:tabs>
          <w:tab w:val="num" w:pos="1134"/>
        </w:tabs>
        <w:ind w:start="1134" w:hanging="567"/>
      </w:pPr>
      <w:rPr/>
    </w:lvl>
    <w:lvl w:ilvl="2">
      <w:start w:val="1"/>
      <w:numFmt w:val="lowerRoman"/>
      <w:lvlText w:val="%3."/>
      <w:lvlJc w:val="start"/>
      <w:pPr>
        <w:tabs>
          <w:tab w:val="num" w:pos="1701"/>
        </w:tabs>
        <w:ind w:start="1701" w:hanging="567"/>
      </w:pPr>
      <w:rPr/>
    </w:lvl>
    <w:lvl w:ilvl="3">
      <w:start w:val="1"/>
      <w:numFmt w:val="decimal"/>
      <w:lvlText w:val="%4."/>
      <w:lvlJc w:val="start"/>
      <w:pPr>
        <w:tabs>
          <w:tab w:val="num" w:pos="0"/>
        </w:tabs>
        <w:ind w:start="2880" w:hanging="360"/>
      </w:pPr>
      <w:rPr/>
    </w:lvl>
    <w:lvl w:ilvl="4">
      <w:start w:val="1"/>
      <w:numFmt w:val="lowerLetter"/>
      <w:lvlText w:val="%5."/>
      <w:lvlJc w:val="start"/>
      <w:pPr>
        <w:tabs>
          <w:tab w:val="num" w:pos="0"/>
        </w:tabs>
        <w:ind w:start="3600" w:hanging="360"/>
      </w:pPr>
      <w:rPr/>
    </w:lvl>
    <w:lvl w:ilvl="5">
      <w:start w:val="1"/>
      <w:numFmt w:val="lowerRoman"/>
      <w:lvlText w:val="%6."/>
      <w:lvlJc w:val="end"/>
      <w:pPr>
        <w:tabs>
          <w:tab w:val="num" w:pos="0"/>
        </w:tabs>
        <w:ind w:start="4320" w:hanging="180"/>
      </w:pPr>
      <w:rPr/>
    </w:lvl>
    <w:lvl w:ilvl="6">
      <w:start w:val="1"/>
      <w:numFmt w:val="decimal"/>
      <w:lvlText w:val="%7."/>
      <w:lvlJc w:val="start"/>
      <w:pPr>
        <w:tabs>
          <w:tab w:val="num" w:pos="0"/>
        </w:tabs>
        <w:ind w:start="5040" w:hanging="360"/>
      </w:pPr>
      <w:rPr/>
    </w:lvl>
    <w:lvl w:ilvl="7">
      <w:start w:val="1"/>
      <w:numFmt w:val="lowerLetter"/>
      <w:lvlText w:val="%8."/>
      <w:lvlJc w:val="start"/>
      <w:pPr>
        <w:tabs>
          <w:tab w:val="num" w:pos="0"/>
        </w:tabs>
        <w:ind w:start="5760" w:hanging="360"/>
      </w:pPr>
      <w:rPr/>
    </w:lvl>
    <w:lvl w:ilvl="8">
      <w:start w:val="1"/>
      <w:numFmt w:val="lowerRoman"/>
      <w:lvlText w:val="%9."/>
      <w:lvlJc w:val="end"/>
      <w:pPr>
        <w:tabs>
          <w:tab w:val="num" w:pos="0"/>
        </w:tabs>
        <w:ind w:start="6480" w:hanging="180"/>
      </w:pPr>
      <w:rPr/>
    </w:lvl>
  </w:abstractNum>
  <w:abstractNum w:abstractNumId="11">
    <w:lvl w:ilvl="0">
      <w:start w:val="1"/>
      <w:numFmt w:val="decimal"/>
      <w:lvlText w:val="(equation %1)"/>
      <w:lvlJc w:val="end"/>
      <w:pPr>
        <w:tabs>
          <w:tab w:val="num" w:pos="0"/>
        </w:tabs>
        <w:ind w:start="8180" w:hanging="360"/>
      </w:pPr>
      <w:rPr>
        <w:rFonts w:ascii="Calibri" w:hAnsi="Calibri" w:cs="Times New Roman"/>
        <w:b w:val="false"/>
        <w:bCs w:val="false"/>
        <w:i w:val="false"/>
        <w:iCs w:val="false"/>
        <w:caps w:val="false"/>
        <w:smallCaps w:val="false"/>
        <w:strike w:val="false"/>
        <w:dstrike w:val="false"/>
        <w:vanish w:val="false"/>
        <w:color w:val="000000"/>
        <w:spacing w:val="0"/>
        <w:kern w:val="0"/>
        <w:position w:val="0"/>
        <w:sz w:val="20"/>
        <w:u w:val="none"/>
        <w:vertAlign w:val="baseline"/>
        <w:em w:val="none"/>
      </w:rPr>
    </w:lvl>
    <w:lvl w:ilvl="1">
      <w:start w:val="1"/>
      <w:numFmt w:val="lowerLetter"/>
      <w:lvlText w:val="%2."/>
      <w:lvlJc w:val="start"/>
      <w:pPr>
        <w:tabs>
          <w:tab w:val="num" w:pos="0"/>
        </w:tabs>
        <w:ind w:start="8900" w:hanging="360"/>
      </w:pPr>
      <w:rPr/>
    </w:lvl>
    <w:lvl w:ilvl="2">
      <w:start w:val="1"/>
      <w:numFmt w:val="lowerRoman"/>
      <w:lvlText w:val="%3."/>
      <w:lvlJc w:val="end"/>
      <w:pPr>
        <w:tabs>
          <w:tab w:val="num" w:pos="0"/>
        </w:tabs>
        <w:ind w:start="9620" w:hanging="180"/>
      </w:pPr>
      <w:rPr/>
    </w:lvl>
    <w:lvl w:ilvl="3">
      <w:start w:val="1"/>
      <w:numFmt w:val="decimal"/>
      <w:lvlText w:val="%4."/>
      <w:lvlJc w:val="start"/>
      <w:pPr>
        <w:tabs>
          <w:tab w:val="num" w:pos="0"/>
        </w:tabs>
        <w:ind w:start="10340" w:hanging="360"/>
      </w:pPr>
      <w:rPr/>
    </w:lvl>
    <w:lvl w:ilvl="4">
      <w:start w:val="1"/>
      <w:numFmt w:val="lowerLetter"/>
      <w:lvlText w:val="%5."/>
      <w:lvlJc w:val="start"/>
      <w:pPr>
        <w:tabs>
          <w:tab w:val="num" w:pos="0"/>
        </w:tabs>
        <w:ind w:start="11060" w:hanging="360"/>
      </w:pPr>
      <w:rPr/>
    </w:lvl>
    <w:lvl w:ilvl="5">
      <w:start w:val="1"/>
      <w:numFmt w:val="lowerRoman"/>
      <w:lvlText w:val="%6."/>
      <w:lvlJc w:val="end"/>
      <w:pPr>
        <w:tabs>
          <w:tab w:val="num" w:pos="0"/>
        </w:tabs>
        <w:ind w:start="11780" w:hanging="180"/>
      </w:pPr>
      <w:rPr/>
    </w:lvl>
    <w:lvl w:ilvl="6">
      <w:start w:val="1"/>
      <w:numFmt w:val="decimal"/>
      <w:lvlText w:val="%7."/>
      <w:lvlJc w:val="start"/>
      <w:pPr>
        <w:tabs>
          <w:tab w:val="num" w:pos="0"/>
        </w:tabs>
        <w:ind w:start="12500" w:hanging="360"/>
      </w:pPr>
      <w:rPr/>
    </w:lvl>
    <w:lvl w:ilvl="7">
      <w:start w:val="1"/>
      <w:numFmt w:val="lowerLetter"/>
      <w:lvlText w:val="%8."/>
      <w:lvlJc w:val="start"/>
      <w:pPr>
        <w:tabs>
          <w:tab w:val="num" w:pos="0"/>
        </w:tabs>
        <w:ind w:start="13220" w:hanging="360"/>
      </w:pPr>
      <w:rPr/>
    </w:lvl>
    <w:lvl w:ilvl="8">
      <w:start w:val="1"/>
      <w:numFmt w:val="lowerRoman"/>
      <w:lvlText w:val="%9."/>
      <w:lvlJc w:val="end"/>
      <w:pPr>
        <w:tabs>
          <w:tab w:val="num" w:pos="0"/>
        </w:tabs>
        <w:ind w:start="13940" w:hanging="180"/>
      </w:pPr>
      <w:rPr/>
    </w:lvl>
  </w:abstractNum>
  <w:abstractNum w:abstractNumId="12">
    <w:lvl w:ilvl="0">
      <w:start w:val="1"/>
      <w:numFmt w:val="bullet"/>
      <w:lvlText w:val=""/>
      <w:lvlJc w:val="start"/>
      <w:pPr>
        <w:tabs>
          <w:tab w:val="num" w:pos="0"/>
        </w:tabs>
        <w:ind w:start="720" w:hanging="360"/>
      </w:pPr>
      <w:rPr>
        <w:rFonts w:ascii="Wingdings" w:hAnsi="Wingdings" w:cs="Wingdings" w:hint="default"/>
      </w:rPr>
    </w:lvl>
    <w:lvl w:ilvl="1">
      <w:start w:val="1"/>
      <w:numFmt w:val="bullet"/>
      <w:lvlText w:val="o"/>
      <w:lvlJc w:val="start"/>
      <w:pPr>
        <w:tabs>
          <w:tab w:val="num" w:pos="0"/>
        </w:tabs>
        <w:ind w:start="1440" w:hanging="360"/>
      </w:pPr>
      <w:rPr>
        <w:rFonts w:ascii="Courier New" w:hAnsi="Courier New" w:cs="Courier New" w:hint="default"/>
      </w:rPr>
    </w:lvl>
    <w:lvl w:ilvl="2">
      <w:start w:val="1"/>
      <w:numFmt w:val="bullet"/>
      <w:lvlText w:val=""/>
      <w:lvlJc w:val="start"/>
      <w:pPr>
        <w:tabs>
          <w:tab w:val="num" w:pos="0"/>
        </w:tabs>
        <w:ind w:start="2160" w:hanging="360"/>
      </w:pPr>
      <w:rPr>
        <w:rFonts w:ascii="Wingdings" w:hAnsi="Wingdings" w:cs="Wingdings" w:hint="default"/>
      </w:rPr>
    </w:lvl>
    <w:lvl w:ilvl="3">
      <w:start w:val="1"/>
      <w:numFmt w:val="bullet"/>
      <w:lvlText w:val=""/>
      <w:lvlJc w:val="start"/>
      <w:pPr>
        <w:tabs>
          <w:tab w:val="num" w:pos="0"/>
        </w:tabs>
        <w:ind w:start="2880" w:hanging="360"/>
      </w:pPr>
      <w:rPr>
        <w:rFonts w:ascii="Symbol" w:hAnsi="Symbol" w:cs="Symbol" w:hint="default"/>
      </w:rPr>
    </w:lvl>
    <w:lvl w:ilvl="4">
      <w:start w:val="1"/>
      <w:numFmt w:val="bullet"/>
      <w:lvlText w:val="o"/>
      <w:lvlJc w:val="start"/>
      <w:pPr>
        <w:tabs>
          <w:tab w:val="num" w:pos="0"/>
        </w:tabs>
        <w:ind w:start="3600" w:hanging="360"/>
      </w:pPr>
      <w:rPr>
        <w:rFonts w:ascii="Courier New" w:hAnsi="Courier New" w:cs="Courier New" w:hint="default"/>
      </w:rPr>
    </w:lvl>
    <w:lvl w:ilvl="5">
      <w:start w:val="1"/>
      <w:numFmt w:val="bullet"/>
      <w:lvlText w:val=""/>
      <w:lvlJc w:val="start"/>
      <w:pPr>
        <w:tabs>
          <w:tab w:val="num" w:pos="0"/>
        </w:tabs>
        <w:ind w:start="4320" w:hanging="360"/>
      </w:pPr>
      <w:rPr>
        <w:rFonts w:ascii="Wingdings" w:hAnsi="Wingdings" w:cs="Wingdings" w:hint="default"/>
      </w:rPr>
    </w:lvl>
    <w:lvl w:ilvl="6">
      <w:start w:val="1"/>
      <w:numFmt w:val="bullet"/>
      <w:lvlText w:val=""/>
      <w:lvlJc w:val="start"/>
      <w:pPr>
        <w:tabs>
          <w:tab w:val="num" w:pos="0"/>
        </w:tabs>
        <w:ind w:start="5040" w:hanging="360"/>
      </w:pPr>
      <w:rPr>
        <w:rFonts w:ascii="Symbol" w:hAnsi="Symbol" w:cs="Symbol" w:hint="default"/>
      </w:rPr>
    </w:lvl>
    <w:lvl w:ilvl="7">
      <w:start w:val="1"/>
      <w:numFmt w:val="bullet"/>
      <w:lvlText w:val="o"/>
      <w:lvlJc w:val="start"/>
      <w:pPr>
        <w:tabs>
          <w:tab w:val="num" w:pos="0"/>
        </w:tabs>
        <w:ind w:start="5760" w:hanging="360"/>
      </w:pPr>
      <w:rPr>
        <w:rFonts w:ascii="Courier New" w:hAnsi="Courier New" w:cs="Courier New" w:hint="default"/>
      </w:rPr>
    </w:lvl>
    <w:lvl w:ilvl="8">
      <w:start w:val="1"/>
      <w:numFmt w:val="bullet"/>
      <w:lvlText w:val=""/>
      <w:lvlJc w:val="start"/>
      <w:pPr>
        <w:tabs>
          <w:tab w:val="num" w:pos="0"/>
        </w:tabs>
        <w:ind w:start="6480" w:hanging="360"/>
      </w:pPr>
      <w:rPr>
        <w:rFonts w:ascii="Wingdings" w:hAnsi="Wingdings" w:cs="Wingdings" w:hint="default"/>
      </w:rPr>
    </w:lvl>
  </w:abstractNum>
  <w:abstractNum w:abstractNumId="13">
    <w:lvl w:ilvl="0">
      <w:start w:val="1"/>
      <w:numFmt w:val="decimal"/>
      <w:lvlText w:val="APPENDIX %1"/>
      <w:lvlJc w:val="start"/>
      <w:pPr>
        <w:tabs>
          <w:tab w:val="num" w:pos="0"/>
        </w:tabs>
        <w:ind w:start="1701" w:hanging="1701"/>
      </w:pPr>
      <w:rPr>
        <w:rFonts w:ascii="Calibri" w:hAnsi="Calibri" w:cs="Times New Roman"/>
        <w:b/>
        <w:bCs/>
        <w:i w:val="false"/>
        <w:iCs w:val="false"/>
        <w:caps/>
        <w:strike w:val="false"/>
        <w:dstrike w:val="false"/>
        <w:vanish w:val="false"/>
        <w:color w:val="4F81BD"/>
        <w:spacing w:val="0"/>
        <w:w w:val="100"/>
        <w:kern w:val="0"/>
        <w:position w:val="0"/>
        <w:sz w:val="24"/>
        <w:szCs w:val="24"/>
        <w:u w:val="none"/>
        <w:effect w:val="none"/>
        <w:vertAlign w:val="baseline"/>
        <w:em w:val="none"/>
      </w:rPr>
    </w:lvl>
    <w:lvl w:ilvl="1">
      <w:start w:val="1"/>
      <w:numFmt w:val="lowerLetter"/>
      <w:lvlText w:val="%2."/>
      <w:lvlJc w:val="start"/>
      <w:pPr>
        <w:tabs>
          <w:tab w:val="num" w:pos="0"/>
        </w:tabs>
        <w:ind w:start="1440" w:hanging="360"/>
      </w:pPr>
      <w:rPr/>
    </w:lvl>
    <w:lvl w:ilvl="2">
      <w:start w:val="1"/>
      <w:numFmt w:val="lowerRoman"/>
      <w:lvlText w:val="%3."/>
      <w:lvlJc w:val="end"/>
      <w:pPr>
        <w:tabs>
          <w:tab w:val="num" w:pos="0"/>
        </w:tabs>
        <w:ind w:start="2160" w:hanging="180"/>
      </w:pPr>
      <w:rPr/>
    </w:lvl>
    <w:lvl w:ilvl="3">
      <w:start w:val="1"/>
      <w:numFmt w:val="decimal"/>
      <w:lvlText w:val="%4."/>
      <w:lvlJc w:val="start"/>
      <w:pPr>
        <w:tabs>
          <w:tab w:val="num" w:pos="0"/>
        </w:tabs>
        <w:ind w:start="2880" w:hanging="360"/>
      </w:pPr>
      <w:rPr/>
    </w:lvl>
    <w:lvl w:ilvl="4">
      <w:start w:val="1"/>
      <w:numFmt w:val="lowerLetter"/>
      <w:lvlText w:val="%5."/>
      <w:lvlJc w:val="start"/>
      <w:pPr>
        <w:tabs>
          <w:tab w:val="num" w:pos="0"/>
        </w:tabs>
        <w:ind w:start="3600" w:hanging="360"/>
      </w:pPr>
      <w:rPr/>
    </w:lvl>
    <w:lvl w:ilvl="5">
      <w:start w:val="1"/>
      <w:numFmt w:val="lowerRoman"/>
      <w:lvlText w:val="%6."/>
      <w:lvlJc w:val="end"/>
      <w:pPr>
        <w:tabs>
          <w:tab w:val="num" w:pos="0"/>
        </w:tabs>
        <w:ind w:start="4320" w:hanging="180"/>
      </w:pPr>
      <w:rPr/>
    </w:lvl>
    <w:lvl w:ilvl="6">
      <w:start w:val="1"/>
      <w:numFmt w:val="decimal"/>
      <w:lvlText w:val="%7."/>
      <w:lvlJc w:val="start"/>
      <w:pPr>
        <w:tabs>
          <w:tab w:val="num" w:pos="0"/>
        </w:tabs>
        <w:ind w:start="5040" w:hanging="360"/>
      </w:pPr>
      <w:rPr/>
    </w:lvl>
    <w:lvl w:ilvl="7">
      <w:start w:val="1"/>
      <w:numFmt w:val="lowerLetter"/>
      <w:lvlText w:val="%8."/>
      <w:lvlJc w:val="start"/>
      <w:pPr>
        <w:tabs>
          <w:tab w:val="num" w:pos="0"/>
        </w:tabs>
        <w:ind w:start="5760" w:hanging="360"/>
      </w:pPr>
      <w:rPr/>
    </w:lvl>
    <w:lvl w:ilvl="8">
      <w:start w:val="1"/>
      <w:numFmt w:val="lowerRoman"/>
      <w:lvlText w:val="%9."/>
      <w:lvlJc w:val="end"/>
      <w:pPr>
        <w:tabs>
          <w:tab w:val="num" w:pos="0"/>
        </w:tabs>
        <w:ind w:start="6480" w:hanging="180"/>
      </w:pPr>
      <w:rPr/>
    </w:lvl>
  </w:abstractNum>
  <w:abstractNum w:abstractNumId="14">
    <w:lvl w:ilvl="0">
      <w:start w:val="1"/>
      <w:numFmt w:val="bullet"/>
      <w:lvlText w:val=""/>
      <w:lvlJc w:val="start"/>
      <w:pPr>
        <w:tabs>
          <w:tab w:val="num" w:pos="0"/>
        </w:tabs>
        <w:ind w:start="720" w:hanging="360"/>
      </w:pPr>
      <w:rPr>
        <w:rFonts w:ascii="Symbol" w:hAnsi="Symbol" w:cs="Symbol" w:hint="default"/>
        <w:color w:themeColor="accent1" w:val="4472C4"/>
      </w:rPr>
    </w:lvl>
    <w:lvl w:ilvl="1">
      <w:start w:val="1"/>
      <w:numFmt w:val="bullet"/>
      <w:lvlText w:val="o"/>
      <w:lvlJc w:val="start"/>
      <w:pPr>
        <w:tabs>
          <w:tab w:val="num" w:pos="0"/>
        </w:tabs>
        <w:ind w:start="1440" w:hanging="360"/>
      </w:pPr>
      <w:rPr>
        <w:rFonts w:ascii="Courier New" w:hAnsi="Courier New" w:cs="Courier New" w:hint="default"/>
      </w:rPr>
    </w:lvl>
    <w:lvl w:ilvl="2">
      <w:start w:val="1"/>
      <w:numFmt w:val="bullet"/>
      <w:lvlText w:val=""/>
      <w:lvlJc w:val="start"/>
      <w:pPr>
        <w:tabs>
          <w:tab w:val="num" w:pos="0"/>
        </w:tabs>
        <w:ind w:start="2160" w:hanging="360"/>
      </w:pPr>
      <w:rPr>
        <w:rFonts w:ascii="Wingdings" w:hAnsi="Wingdings" w:cs="Wingdings" w:hint="default"/>
      </w:rPr>
    </w:lvl>
    <w:lvl w:ilvl="3">
      <w:start w:val="1"/>
      <w:numFmt w:val="bullet"/>
      <w:lvlText w:val=""/>
      <w:lvlJc w:val="start"/>
      <w:pPr>
        <w:tabs>
          <w:tab w:val="num" w:pos="0"/>
        </w:tabs>
        <w:ind w:start="2880" w:hanging="360"/>
      </w:pPr>
      <w:rPr>
        <w:rFonts w:ascii="Symbol" w:hAnsi="Symbol" w:cs="Symbol" w:hint="default"/>
      </w:rPr>
    </w:lvl>
    <w:lvl w:ilvl="4">
      <w:start w:val="1"/>
      <w:numFmt w:val="bullet"/>
      <w:lvlText w:val="o"/>
      <w:lvlJc w:val="start"/>
      <w:pPr>
        <w:tabs>
          <w:tab w:val="num" w:pos="0"/>
        </w:tabs>
        <w:ind w:start="3600" w:hanging="360"/>
      </w:pPr>
      <w:rPr>
        <w:rFonts w:ascii="Courier New" w:hAnsi="Courier New" w:cs="Courier New" w:hint="default"/>
      </w:rPr>
    </w:lvl>
    <w:lvl w:ilvl="5">
      <w:start w:val="1"/>
      <w:numFmt w:val="bullet"/>
      <w:lvlText w:val=""/>
      <w:lvlJc w:val="start"/>
      <w:pPr>
        <w:tabs>
          <w:tab w:val="num" w:pos="0"/>
        </w:tabs>
        <w:ind w:start="4320" w:hanging="360"/>
      </w:pPr>
      <w:rPr>
        <w:rFonts w:ascii="Wingdings" w:hAnsi="Wingdings" w:cs="Wingdings" w:hint="default"/>
      </w:rPr>
    </w:lvl>
    <w:lvl w:ilvl="6">
      <w:start w:val="1"/>
      <w:numFmt w:val="bullet"/>
      <w:lvlText w:val=""/>
      <w:lvlJc w:val="start"/>
      <w:pPr>
        <w:tabs>
          <w:tab w:val="num" w:pos="0"/>
        </w:tabs>
        <w:ind w:start="5040" w:hanging="360"/>
      </w:pPr>
      <w:rPr>
        <w:rFonts w:ascii="Symbol" w:hAnsi="Symbol" w:cs="Symbol" w:hint="default"/>
      </w:rPr>
    </w:lvl>
    <w:lvl w:ilvl="7">
      <w:start w:val="1"/>
      <w:numFmt w:val="bullet"/>
      <w:lvlText w:val="o"/>
      <w:lvlJc w:val="start"/>
      <w:pPr>
        <w:tabs>
          <w:tab w:val="num" w:pos="0"/>
        </w:tabs>
        <w:ind w:start="5760" w:hanging="360"/>
      </w:pPr>
      <w:rPr>
        <w:rFonts w:ascii="Courier New" w:hAnsi="Courier New" w:cs="Courier New" w:hint="default"/>
      </w:rPr>
    </w:lvl>
    <w:lvl w:ilvl="8">
      <w:start w:val="1"/>
      <w:numFmt w:val="bullet"/>
      <w:lvlText w:val=""/>
      <w:lvlJc w:val="start"/>
      <w:pPr>
        <w:tabs>
          <w:tab w:val="num" w:pos="0"/>
        </w:tabs>
        <w:ind w:start="6480" w:hanging="360"/>
      </w:pPr>
      <w:rPr>
        <w:rFonts w:ascii="Wingdings" w:hAnsi="Wingdings" w:cs="Wingdings" w:hint="default"/>
      </w:rPr>
    </w:lvl>
  </w:abstractNum>
  <w:abstractNum w:abstractNumId="15">
    <w:lvl w:ilvl="0">
      <w:start w:val="1"/>
      <w:numFmt w:val="bullet"/>
      <w:lvlText w:val=""/>
      <w:lvlJc w:val="start"/>
      <w:pPr>
        <w:tabs>
          <w:tab w:val="num" w:pos="0"/>
        </w:tabs>
        <w:ind w:start="720" w:hanging="360"/>
      </w:pPr>
      <w:rPr>
        <w:rFonts w:ascii="Symbol" w:hAnsi="Symbol" w:cs="Symbol" w:hint="default"/>
        <w:color w:themeColor="accent1" w:val="4472C4"/>
      </w:rPr>
    </w:lvl>
    <w:lvl w:ilvl="1">
      <w:start w:val="1"/>
      <w:numFmt w:val="bullet"/>
      <w:lvlText w:val="o"/>
      <w:lvlJc w:val="start"/>
      <w:pPr>
        <w:tabs>
          <w:tab w:val="num" w:pos="0"/>
        </w:tabs>
        <w:ind w:start="1440" w:hanging="360"/>
      </w:pPr>
      <w:rPr>
        <w:rFonts w:ascii="Courier New" w:hAnsi="Courier New" w:cs="Courier New" w:hint="default"/>
      </w:rPr>
    </w:lvl>
    <w:lvl w:ilvl="2">
      <w:start w:val="1"/>
      <w:numFmt w:val="bullet"/>
      <w:lvlText w:val=""/>
      <w:lvlJc w:val="start"/>
      <w:pPr>
        <w:tabs>
          <w:tab w:val="num" w:pos="0"/>
        </w:tabs>
        <w:ind w:start="2160" w:hanging="360"/>
      </w:pPr>
      <w:rPr>
        <w:rFonts w:ascii="Wingdings" w:hAnsi="Wingdings" w:cs="Wingdings" w:hint="default"/>
      </w:rPr>
    </w:lvl>
    <w:lvl w:ilvl="3">
      <w:start w:val="1"/>
      <w:numFmt w:val="bullet"/>
      <w:lvlText w:val=""/>
      <w:lvlJc w:val="start"/>
      <w:pPr>
        <w:tabs>
          <w:tab w:val="num" w:pos="0"/>
        </w:tabs>
        <w:ind w:start="2880" w:hanging="360"/>
      </w:pPr>
      <w:rPr>
        <w:rFonts w:ascii="Symbol" w:hAnsi="Symbol" w:cs="Symbol" w:hint="default"/>
      </w:rPr>
    </w:lvl>
    <w:lvl w:ilvl="4">
      <w:start w:val="1"/>
      <w:numFmt w:val="bullet"/>
      <w:lvlText w:val="o"/>
      <w:lvlJc w:val="start"/>
      <w:pPr>
        <w:tabs>
          <w:tab w:val="num" w:pos="0"/>
        </w:tabs>
        <w:ind w:start="3600" w:hanging="360"/>
      </w:pPr>
      <w:rPr>
        <w:rFonts w:ascii="Courier New" w:hAnsi="Courier New" w:cs="Courier New" w:hint="default"/>
      </w:rPr>
    </w:lvl>
    <w:lvl w:ilvl="5">
      <w:start w:val="1"/>
      <w:numFmt w:val="bullet"/>
      <w:lvlText w:val=""/>
      <w:lvlJc w:val="start"/>
      <w:pPr>
        <w:tabs>
          <w:tab w:val="num" w:pos="0"/>
        </w:tabs>
        <w:ind w:start="4320" w:hanging="360"/>
      </w:pPr>
      <w:rPr>
        <w:rFonts w:ascii="Wingdings" w:hAnsi="Wingdings" w:cs="Wingdings" w:hint="default"/>
      </w:rPr>
    </w:lvl>
    <w:lvl w:ilvl="6">
      <w:start w:val="1"/>
      <w:numFmt w:val="bullet"/>
      <w:lvlText w:val=""/>
      <w:lvlJc w:val="start"/>
      <w:pPr>
        <w:tabs>
          <w:tab w:val="num" w:pos="0"/>
        </w:tabs>
        <w:ind w:start="5040" w:hanging="360"/>
      </w:pPr>
      <w:rPr>
        <w:rFonts w:ascii="Symbol" w:hAnsi="Symbol" w:cs="Symbol" w:hint="default"/>
      </w:rPr>
    </w:lvl>
    <w:lvl w:ilvl="7">
      <w:start w:val="1"/>
      <w:numFmt w:val="bullet"/>
      <w:lvlText w:val="o"/>
      <w:lvlJc w:val="start"/>
      <w:pPr>
        <w:tabs>
          <w:tab w:val="num" w:pos="0"/>
        </w:tabs>
        <w:ind w:start="5760" w:hanging="360"/>
      </w:pPr>
      <w:rPr>
        <w:rFonts w:ascii="Courier New" w:hAnsi="Courier New" w:cs="Courier New" w:hint="default"/>
      </w:rPr>
    </w:lvl>
    <w:lvl w:ilvl="8">
      <w:start w:val="1"/>
      <w:numFmt w:val="bullet"/>
      <w:lvlText w:val=""/>
      <w:lvlJc w:val="start"/>
      <w:pPr>
        <w:tabs>
          <w:tab w:val="num" w:pos="0"/>
        </w:tabs>
        <w:ind w:start="6480" w:hanging="360"/>
      </w:pPr>
      <w:rPr>
        <w:rFonts w:ascii="Wingdings" w:hAnsi="Wingdings" w:cs="Wingdings" w:hint="default"/>
      </w:rPr>
    </w:lvl>
  </w:abstractNum>
  <w:abstractNum w:abstractNumId="16">
    <w:lvl w:ilvl="0">
      <w:start w:val="1"/>
      <w:numFmt w:val="bullet"/>
      <w:lvlText w:val=""/>
      <w:lvlJc w:val="start"/>
      <w:pPr>
        <w:tabs>
          <w:tab w:val="num" w:pos="0"/>
        </w:tabs>
        <w:ind w:start="720" w:hanging="360"/>
      </w:pPr>
      <w:rPr>
        <w:rFonts w:ascii="Symbol" w:hAnsi="Symbol" w:cs="Symbol" w:hint="default"/>
        <w:color w:themeColor="accent1" w:val="4472C4"/>
      </w:rPr>
    </w:lvl>
    <w:lvl w:ilvl="1">
      <w:start w:val="1"/>
      <w:numFmt w:val="bullet"/>
      <w:lvlText w:val="o"/>
      <w:lvlJc w:val="start"/>
      <w:pPr>
        <w:tabs>
          <w:tab w:val="num" w:pos="0"/>
        </w:tabs>
        <w:ind w:start="1440" w:hanging="360"/>
      </w:pPr>
      <w:rPr>
        <w:rFonts w:ascii="Courier New" w:hAnsi="Courier New" w:cs="Courier New" w:hint="default"/>
      </w:rPr>
    </w:lvl>
    <w:lvl w:ilvl="2">
      <w:start w:val="1"/>
      <w:numFmt w:val="bullet"/>
      <w:lvlText w:val=""/>
      <w:lvlJc w:val="start"/>
      <w:pPr>
        <w:tabs>
          <w:tab w:val="num" w:pos="0"/>
        </w:tabs>
        <w:ind w:start="2160" w:hanging="360"/>
      </w:pPr>
      <w:rPr>
        <w:rFonts w:ascii="Wingdings" w:hAnsi="Wingdings" w:cs="Wingdings" w:hint="default"/>
      </w:rPr>
    </w:lvl>
    <w:lvl w:ilvl="3">
      <w:start w:val="1"/>
      <w:numFmt w:val="bullet"/>
      <w:lvlText w:val=""/>
      <w:lvlJc w:val="start"/>
      <w:pPr>
        <w:tabs>
          <w:tab w:val="num" w:pos="0"/>
        </w:tabs>
        <w:ind w:start="2880" w:hanging="360"/>
      </w:pPr>
      <w:rPr>
        <w:rFonts w:ascii="Symbol" w:hAnsi="Symbol" w:cs="Symbol" w:hint="default"/>
      </w:rPr>
    </w:lvl>
    <w:lvl w:ilvl="4">
      <w:start w:val="1"/>
      <w:numFmt w:val="bullet"/>
      <w:lvlText w:val="o"/>
      <w:lvlJc w:val="start"/>
      <w:pPr>
        <w:tabs>
          <w:tab w:val="num" w:pos="0"/>
        </w:tabs>
        <w:ind w:start="3600" w:hanging="360"/>
      </w:pPr>
      <w:rPr>
        <w:rFonts w:ascii="Courier New" w:hAnsi="Courier New" w:cs="Courier New" w:hint="default"/>
      </w:rPr>
    </w:lvl>
    <w:lvl w:ilvl="5">
      <w:start w:val="1"/>
      <w:numFmt w:val="bullet"/>
      <w:lvlText w:val=""/>
      <w:lvlJc w:val="start"/>
      <w:pPr>
        <w:tabs>
          <w:tab w:val="num" w:pos="0"/>
        </w:tabs>
        <w:ind w:start="4320" w:hanging="360"/>
      </w:pPr>
      <w:rPr>
        <w:rFonts w:ascii="Wingdings" w:hAnsi="Wingdings" w:cs="Wingdings" w:hint="default"/>
      </w:rPr>
    </w:lvl>
    <w:lvl w:ilvl="6">
      <w:start w:val="1"/>
      <w:numFmt w:val="bullet"/>
      <w:lvlText w:val=""/>
      <w:lvlJc w:val="start"/>
      <w:pPr>
        <w:tabs>
          <w:tab w:val="num" w:pos="0"/>
        </w:tabs>
        <w:ind w:start="5040" w:hanging="360"/>
      </w:pPr>
      <w:rPr>
        <w:rFonts w:ascii="Symbol" w:hAnsi="Symbol" w:cs="Symbol" w:hint="default"/>
      </w:rPr>
    </w:lvl>
    <w:lvl w:ilvl="7">
      <w:start w:val="1"/>
      <w:numFmt w:val="bullet"/>
      <w:lvlText w:val="o"/>
      <w:lvlJc w:val="start"/>
      <w:pPr>
        <w:tabs>
          <w:tab w:val="num" w:pos="0"/>
        </w:tabs>
        <w:ind w:start="5760" w:hanging="360"/>
      </w:pPr>
      <w:rPr>
        <w:rFonts w:ascii="Courier New" w:hAnsi="Courier New" w:cs="Courier New" w:hint="default"/>
      </w:rPr>
    </w:lvl>
    <w:lvl w:ilvl="8">
      <w:start w:val="1"/>
      <w:numFmt w:val="bullet"/>
      <w:lvlText w:val=""/>
      <w:lvlJc w:val="start"/>
      <w:pPr>
        <w:tabs>
          <w:tab w:val="num" w:pos="0"/>
        </w:tabs>
        <w:ind w:start="6480" w:hanging="360"/>
      </w:pPr>
      <w:rPr>
        <w:rFonts w:ascii="Wingdings" w:hAnsi="Wingdings" w:cs="Wingdings" w:hint="default"/>
      </w:rPr>
    </w:lvl>
  </w:abstractNum>
  <w:abstractNum w:abstractNumId="17">
    <w:lvl w:ilvl="0">
      <w:start w:val="1"/>
      <w:numFmt w:val="decimal"/>
      <w:lvlText w:val="%1."/>
      <w:lvlJc w:val="start"/>
      <w:pPr>
        <w:tabs>
          <w:tab w:val="num" w:pos="0"/>
        </w:tabs>
        <w:ind w:start="567" w:hanging="567"/>
      </w:pPr>
      <w:rPr>
        <w:b w:val="false"/>
        <w:i w:val="false"/>
        <w:sz w:val="22"/>
      </w:rPr>
    </w:lvl>
    <w:lvl w:ilvl="1">
      <w:start w:val="1"/>
      <w:numFmt w:val="decimal"/>
      <w:lvlText w:val="2.%2"/>
      <w:lvlJc w:val="start"/>
      <w:pPr>
        <w:tabs>
          <w:tab w:val="num" w:pos="0"/>
        </w:tabs>
        <w:ind w:start="927" w:hanging="360"/>
      </w:pPr>
      <w:rPr/>
    </w:lvl>
    <w:lvl w:ilvl="2">
      <w:start w:val="1"/>
      <w:numFmt w:val="bullet"/>
      <w:lvlText w:val=""/>
      <w:lvlJc w:val="start"/>
      <w:pPr>
        <w:tabs>
          <w:tab w:val="num" w:pos="0"/>
        </w:tabs>
        <w:ind w:start="1080" w:hanging="360"/>
      </w:pPr>
      <w:rPr>
        <w:rFonts w:ascii="Symbol" w:hAnsi="Symbol" w:cs="Symbol" w:hint="default"/>
        <w:color w:themeColor="accent5" w:themeTint="66" w:val="BDD6EE"/>
      </w:rPr>
    </w:lvl>
    <w:lvl w:ilvl="3">
      <w:start w:val="1"/>
      <w:numFmt w:val="bullet"/>
      <w:lvlText w:val=""/>
      <w:lvlJc w:val="start"/>
      <w:pPr>
        <w:tabs>
          <w:tab w:val="num" w:pos="0"/>
        </w:tabs>
        <w:ind w:start="990" w:hanging="360"/>
      </w:pPr>
      <w:rPr>
        <w:rFonts w:ascii="Symbol" w:hAnsi="Symbol" w:cs="Symbol" w:hint="default"/>
        <w:color w:themeColor="accent1" w:val="4472C4"/>
      </w:rPr>
    </w:lvl>
    <w:lvl w:ilvl="4">
      <w:start w:val="1"/>
      <w:numFmt w:val="bullet"/>
      <w:lvlText w:val="o"/>
      <w:lvlJc w:val="start"/>
      <w:pPr>
        <w:tabs>
          <w:tab w:val="num" w:pos="0"/>
        </w:tabs>
        <w:ind w:start="1800" w:hanging="360"/>
      </w:pPr>
      <w:rPr>
        <w:rFonts w:ascii="Courier New" w:hAnsi="Courier New" w:cs="Courier New" w:hint="default"/>
      </w:rPr>
    </w:lvl>
    <w:lvl w:ilvl="5">
      <w:start w:val="1"/>
      <w:numFmt w:val="bullet"/>
      <w:lvlText w:val="o"/>
      <w:lvlJc w:val="start"/>
      <w:pPr>
        <w:tabs>
          <w:tab w:val="num" w:pos="0"/>
        </w:tabs>
        <w:ind w:start="2160" w:hanging="360"/>
      </w:pPr>
      <w:rPr>
        <w:rFonts w:ascii="Courier New" w:hAnsi="Courier New" w:cs="Courier New" w:hint="default"/>
      </w:rPr>
    </w:lvl>
    <w:lvl w:ilvl="6">
      <w:start w:val="1"/>
      <w:numFmt w:val="decimal"/>
      <w:lvlText w:val="%7."/>
      <w:lvlJc w:val="start"/>
      <w:pPr>
        <w:tabs>
          <w:tab w:val="num" w:pos="0"/>
        </w:tabs>
        <w:ind w:start="2520" w:hanging="360"/>
      </w:pPr>
      <w:rPr/>
    </w:lvl>
    <w:lvl w:ilvl="7">
      <w:start w:val="1"/>
      <w:numFmt w:val="lowerLetter"/>
      <w:lvlText w:val="%8."/>
      <w:lvlJc w:val="start"/>
      <w:pPr>
        <w:tabs>
          <w:tab w:val="num" w:pos="0"/>
        </w:tabs>
        <w:ind w:start="2880" w:hanging="360"/>
      </w:pPr>
      <w:rPr/>
    </w:lvl>
    <w:lvl w:ilvl="8">
      <w:start w:val="1"/>
      <w:numFmt w:val="lowerRoman"/>
      <w:lvlText w:val="%9."/>
      <w:lvlJc w:val="start"/>
      <w:pPr>
        <w:tabs>
          <w:tab w:val="num" w:pos="0"/>
        </w:tabs>
        <w:ind w:start="3240" w:hanging="360"/>
      </w:pPr>
      <w:rPr/>
    </w:lvl>
  </w:abstractNum>
  <w:abstractNum w:abstractNumId="18">
    <w:lvl w:ilvl="0">
      <w:start w:val="1"/>
      <w:numFmt w:val="decimal"/>
      <w:lvlText w:val="%1."/>
      <w:lvlJc w:val="start"/>
      <w:pPr>
        <w:tabs>
          <w:tab w:val="num" w:pos="0"/>
        </w:tabs>
        <w:ind w:start="720" w:hanging="360"/>
      </w:pPr>
      <w:rPr/>
    </w:lvl>
    <w:lvl w:ilvl="1">
      <w:start w:val="1"/>
      <w:numFmt w:val="lowerLetter"/>
      <w:lvlText w:val="%2."/>
      <w:lvlJc w:val="start"/>
      <w:pPr>
        <w:tabs>
          <w:tab w:val="num" w:pos="0"/>
        </w:tabs>
        <w:ind w:start="1440" w:hanging="360"/>
      </w:pPr>
      <w:rPr/>
    </w:lvl>
    <w:lvl w:ilvl="2">
      <w:start w:val="1"/>
      <w:numFmt w:val="lowerRoman"/>
      <w:lvlText w:val="%3."/>
      <w:lvlJc w:val="end"/>
      <w:pPr>
        <w:tabs>
          <w:tab w:val="num" w:pos="0"/>
        </w:tabs>
        <w:ind w:start="2160" w:hanging="180"/>
      </w:pPr>
      <w:rPr/>
    </w:lvl>
    <w:lvl w:ilvl="3">
      <w:start w:val="1"/>
      <w:numFmt w:val="decimal"/>
      <w:lvlText w:val="%4."/>
      <w:lvlJc w:val="start"/>
      <w:pPr>
        <w:tabs>
          <w:tab w:val="num" w:pos="0"/>
        </w:tabs>
        <w:ind w:start="2880" w:hanging="360"/>
      </w:pPr>
      <w:rPr/>
    </w:lvl>
    <w:lvl w:ilvl="4">
      <w:start w:val="1"/>
      <w:numFmt w:val="lowerLetter"/>
      <w:lvlText w:val="%5."/>
      <w:lvlJc w:val="start"/>
      <w:pPr>
        <w:tabs>
          <w:tab w:val="num" w:pos="0"/>
        </w:tabs>
        <w:ind w:start="3600" w:hanging="360"/>
      </w:pPr>
      <w:rPr/>
    </w:lvl>
    <w:lvl w:ilvl="5">
      <w:start w:val="1"/>
      <w:numFmt w:val="lowerRoman"/>
      <w:lvlText w:val="%6."/>
      <w:lvlJc w:val="end"/>
      <w:pPr>
        <w:tabs>
          <w:tab w:val="num" w:pos="0"/>
        </w:tabs>
        <w:ind w:start="4320" w:hanging="180"/>
      </w:pPr>
      <w:rPr/>
    </w:lvl>
    <w:lvl w:ilvl="6">
      <w:start w:val="1"/>
      <w:numFmt w:val="decimal"/>
      <w:lvlText w:val="%7."/>
      <w:lvlJc w:val="start"/>
      <w:pPr>
        <w:tabs>
          <w:tab w:val="num" w:pos="0"/>
        </w:tabs>
        <w:ind w:start="5040" w:hanging="360"/>
      </w:pPr>
      <w:rPr/>
    </w:lvl>
    <w:lvl w:ilvl="7">
      <w:start w:val="1"/>
      <w:numFmt w:val="lowerLetter"/>
      <w:lvlText w:val="%8."/>
      <w:lvlJc w:val="start"/>
      <w:pPr>
        <w:tabs>
          <w:tab w:val="num" w:pos="0"/>
        </w:tabs>
        <w:ind w:start="5760" w:hanging="360"/>
      </w:pPr>
      <w:rPr/>
    </w:lvl>
    <w:lvl w:ilvl="8">
      <w:start w:val="1"/>
      <w:numFmt w:val="lowerRoman"/>
      <w:lvlText w:val="%9."/>
      <w:lvlJc w:val="end"/>
      <w:pPr>
        <w:tabs>
          <w:tab w:val="num" w:pos="0"/>
        </w:tabs>
        <w:ind w:start="6480" w:hanging="180"/>
      </w:pPr>
      <w:rPr/>
    </w:lvl>
  </w:abstractNum>
  <w:abstractNum w:abstractNumId="19">
    <w:lvl w:ilvl="0">
      <w:start w:val="1"/>
      <w:numFmt w:val="decimal"/>
      <w:lvlText w:val="%1."/>
      <w:lvlJc w:val="start"/>
      <w:pPr>
        <w:tabs>
          <w:tab w:val="num" w:pos="0"/>
        </w:tabs>
        <w:ind w:start="720" w:hanging="360"/>
      </w:pPr>
      <w:rPr/>
    </w:lvl>
    <w:lvl w:ilvl="1">
      <w:start w:val="1"/>
      <w:numFmt w:val="lowerLetter"/>
      <w:lvlText w:val="%2."/>
      <w:lvlJc w:val="start"/>
      <w:pPr>
        <w:tabs>
          <w:tab w:val="num" w:pos="0"/>
        </w:tabs>
        <w:ind w:start="1440" w:hanging="360"/>
      </w:pPr>
      <w:rPr/>
    </w:lvl>
    <w:lvl w:ilvl="2">
      <w:start w:val="1"/>
      <w:numFmt w:val="lowerRoman"/>
      <w:lvlText w:val="%3."/>
      <w:lvlJc w:val="end"/>
      <w:pPr>
        <w:tabs>
          <w:tab w:val="num" w:pos="0"/>
        </w:tabs>
        <w:ind w:start="2160" w:hanging="180"/>
      </w:pPr>
      <w:rPr/>
    </w:lvl>
    <w:lvl w:ilvl="3">
      <w:start w:val="1"/>
      <w:numFmt w:val="decimal"/>
      <w:lvlText w:val="%4."/>
      <w:lvlJc w:val="start"/>
      <w:pPr>
        <w:tabs>
          <w:tab w:val="num" w:pos="0"/>
        </w:tabs>
        <w:ind w:start="2880" w:hanging="360"/>
      </w:pPr>
      <w:rPr/>
    </w:lvl>
    <w:lvl w:ilvl="4">
      <w:start w:val="1"/>
      <w:numFmt w:val="lowerLetter"/>
      <w:lvlText w:val="%5."/>
      <w:lvlJc w:val="start"/>
      <w:pPr>
        <w:tabs>
          <w:tab w:val="num" w:pos="0"/>
        </w:tabs>
        <w:ind w:start="3600" w:hanging="360"/>
      </w:pPr>
      <w:rPr/>
    </w:lvl>
    <w:lvl w:ilvl="5">
      <w:start w:val="1"/>
      <w:numFmt w:val="lowerRoman"/>
      <w:lvlText w:val="%6."/>
      <w:lvlJc w:val="end"/>
      <w:pPr>
        <w:tabs>
          <w:tab w:val="num" w:pos="0"/>
        </w:tabs>
        <w:ind w:start="4320" w:hanging="180"/>
      </w:pPr>
      <w:rPr/>
    </w:lvl>
    <w:lvl w:ilvl="6">
      <w:start w:val="1"/>
      <w:numFmt w:val="decimal"/>
      <w:lvlText w:val="%7."/>
      <w:lvlJc w:val="start"/>
      <w:pPr>
        <w:tabs>
          <w:tab w:val="num" w:pos="0"/>
        </w:tabs>
        <w:ind w:start="5040" w:hanging="360"/>
      </w:pPr>
      <w:rPr/>
    </w:lvl>
    <w:lvl w:ilvl="7">
      <w:start w:val="1"/>
      <w:numFmt w:val="lowerLetter"/>
      <w:lvlText w:val="%8."/>
      <w:lvlJc w:val="start"/>
      <w:pPr>
        <w:tabs>
          <w:tab w:val="num" w:pos="0"/>
        </w:tabs>
        <w:ind w:start="5760" w:hanging="360"/>
      </w:pPr>
      <w:rPr/>
    </w:lvl>
    <w:lvl w:ilvl="8">
      <w:start w:val="1"/>
      <w:numFmt w:val="lowerRoman"/>
      <w:lvlText w:val="%9."/>
      <w:lvlJc w:val="end"/>
      <w:pPr>
        <w:tabs>
          <w:tab w:val="num" w:pos="0"/>
        </w:tabs>
        <w:ind w:start="6480" w:hanging="180"/>
      </w:pPr>
      <w:rPr/>
    </w:lvl>
  </w:abstractNum>
  <w:abstractNum w:abstractNumId="20">
    <w:lvl w:ilvl="0">
      <w:start w:val="1"/>
      <w:numFmt w:val="decimal"/>
      <w:lvlText w:val="%1."/>
      <w:lvlJc w:val="start"/>
      <w:pPr>
        <w:tabs>
          <w:tab w:val="num" w:pos="0"/>
        </w:tabs>
        <w:ind w:start="720" w:hanging="360"/>
      </w:pPr>
      <w:rPr/>
    </w:lvl>
    <w:lvl w:ilvl="1">
      <w:start w:val="1"/>
      <w:numFmt w:val="lowerLetter"/>
      <w:lvlText w:val="%2."/>
      <w:lvlJc w:val="start"/>
      <w:pPr>
        <w:tabs>
          <w:tab w:val="num" w:pos="0"/>
        </w:tabs>
        <w:ind w:start="1440" w:hanging="360"/>
      </w:pPr>
      <w:rPr/>
    </w:lvl>
    <w:lvl w:ilvl="2">
      <w:start w:val="1"/>
      <w:numFmt w:val="lowerRoman"/>
      <w:lvlText w:val="%3."/>
      <w:lvlJc w:val="end"/>
      <w:pPr>
        <w:tabs>
          <w:tab w:val="num" w:pos="0"/>
        </w:tabs>
        <w:ind w:start="2160" w:hanging="180"/>
      </w:pPr>
      <w:rPr/>
    </w:lvl>
    <w:lvl w:ilvl="3">
      <w:start w:val="1"/>
      <w:numFmt w:val="decimal"/>
      <w:lvlText w:val="%4."/>
      <w:lvlJc w:val="start"/>
      <w:pPr>
        <w:tabs>
          <w:tab w:val="num" w:pos="0"/>
        </w:tabs>
        <w:ind w:start="2880" w:hanging="360"/>
      </w:pPr>
      <w:rPr/>
    </w:lvl>
    <w:lvl w:ilvl="4">
      <w:start w:val="1"/>
      <w:numFmt w:val="lowerLetter"/>
      <w:lvlText w:val="%5."/>
      <w:lvlJc w:val="start"/>
      <w:pPr>
        <w:tabs>
          <w:tab w:val="num" w:pos="0"/>
        </w:tabs>
        <w:ind w:start="3600" w:hanging="360"/>
      </w:pPr>
      <w:rPr/>
    </w:lvl>
    <w:lvl w:ilvl="5">
      <w:start w:val="1"/>
      <w:numFmt w:val="lowerRoman"/>
      <w:lvlText w:val="%6."/>
      <w:lvlJc w:val="end"/>
      <w:pPr>
        <w:tabs>
          <w:tab w:val="num" w:pos="0"/>
        </w:tabs>
        <w:ind w:start="4320" w:hanging="180"/>
      </w:pPr>
      <w:rPr/>
    </w:lvl>
    <w:lvl w:ilvl="6">
      <w:start w:val="1"/>
      <w:numFmt w:val="decimal"/>
      <w:lvlText w:val="%7."/>
      <w:lvlJc w:val="start"/>
      <w:pPr>
        <w:tabs>
          <w:tab w:val="num" w:pos="0"/>
        </w:tabs>
        <w:ind w:start="5040" w:hanging="360"/>
      </w:pPr>
      <w:rPr/>
    </w:lvl>
    <w:lvl w:ilvl="7">
      <w:start w:val="1"/>
      <w:numFmt w:val="lowerLetter"/>
      <w:lvlText w:val="%8."/>
      <w:lvlJc w:val="start"/>
      <w:pPr>
        <w:tabs>
          <w:tab w:val="num" w:pos="0"/>
        </w:tabs>
        <w:ind w:start="5760" w:hanging="360"/>
      </w:pPr>
      <w:rPr/>
    </w:lvl>
    <w:lvl w:ilvl="8">
      <w:start w:val="1"/>
      <w:numFmt w:val="lowerRoman"/>
      <w:lvlText w:val="%9."/>
      <w:lvlJc w:val="end"/>
      <w:pPr>
        <w:tabs>
          <w:tab w:val="num" w:pos="0"/>
        </w:tabs>
        <w:ind w:start="6480" w:hanging="180"/>
      </w:pPr>
      <w:rPr/>
    </w:lvl>
  </w:abstractNum>
  <w:abstractNum w:abstractNumId="21">
    <w:lvl w:ilvl="0">
      <w:start w:val="1"/>
      <w:numFmt w:val="decimal"/>
      <w:lvlText w:val="%1."/>
      <w:lvlJc w:val="start"/>
      <w:pPr>
        <w:tabs>
          <w:tab w:val="num" w:pos="0"/>
        </w:tabs>
        <w:ind w:start="720" w:hanging="360"/>
      </w:pPr>
      <w:rPr/>
    </w:lvl>
    <w:lvl w:ilvl="1">
      <w:start w:val="1"/>
      <w:numFmt w:val="lowerLetter"/>
      <w:lvlText w:val="%2."/>
      <w:lvlJc w:val="start"/>
      <w:pPr>
        <w:tabs>
          <w:tab w:val="num" w:pos="0"/>
        </w:tabs>
        <w:ind w:start="1440" w:hanging="360"/>
      </w:pPr>
      <w:rPr/>
    </w:lvl>
    <w:lvl w:ilvl="2">
      <w:start w:val="1"/>
      <w:numFmt w:val="lowerRoman"/>
      <w:lvlText w:val="%3."/>
      <w:lvlJc w:val="end"/>
      <w:pPr>
        <w:tabs>
          <w:tab w:val="num" w:pos="0"/>
        </w:tabs>
        <w:ind w:start="2160" w:hanging="180"/>
      </w:pPr>
      <w:rPr/>
    </w:lvl>
    <w:lvl w:ilvl="3">
      <w:start w:val="1"/>
      <w:numFmt w:val="decimal"/>
      <w:lvlText w:val="%4."/>
      <w:lvlJc w:val="start"/>
      <w:pPr>
        <w:tabs>
          <w:tab w:val="num" w:pos="0"/>
        </w:tabs>
        <w:ind w:start="2880" w:hanging="360"/>
      </w:pPr>
      <w:rPr/>
    </w:lvl>
    <w:lvl w:ilvl="4">
      <w:start w:val="1"/>
      <w:numFmt w:val="lowerLetter"/>
      <w:lvlText w:val="%5."/>
      <w:lvlJc w:val="start"/>
      <w:pPr>
        <w:tabs>
          <w:tab w:val="num" w:pos="0"/>
        </w:tabs>
        <w:ind w:start="3600" w:hanging="360"/>
      </w:pPr>
      <w:rPr/>
    </w:lvl>
    <w:lvl w:ilvl="5">
      <w:start w:val="1"/>
      <w:numFmt w:val="lowerRoman"/>
      <w:lvlText w:val="%6."/>
      <w:lvlJc w:val="end"/>
      <w:pPr>
        <w:tabs>
          <w:tab w:val="num" w:pos="0"/>
        </w:tabs>
        <w:ind w:start="4320" w:hanging="180"/>
      </w:pPr>
      <w:rPr/>
    </w:lvl>
    <w:lvl w:ilvl="6">
      <w:start w:val="1"/>
      <w:numFmt w:val="decimal"/>
      <w:lvlText w:val="%7."/>
      <w:lvlJc w:val="start"/>
      <w:pPr>
        <w:tabs>
          <w:tab w:val="num" w:pos="0"/>
        </w:tabs>
        <w:ind w:start="5040" w:hanging="360"/>
      </w:pPr>
      <w:rPr/>
    </w:lvl>
    <w:lvl w:ilvl="7">
      <w:start w:val="1"/>
      <w:numFmt w:val="lowerLetter"/>
      <w:lvlText w:val="%8."/>
      <w:lvlJc w:val="start"/>
      <w:pPr>
        <w:tabs>
          <w:tab w:val="num" w:pos="0"/>
        </w:tabs>
        <w:ind w:start="5760" w:hanging="360"/>
      </w:pPr>
      <w:rPr/>
    </w:lvl>
    <w:lvl w:ilvl="8">
      <w:start w:val="1"/>
      <w:numFmt w:val="lowerRoman"/>
      <w:lvlText w:val="%9."/>
      <w:lvlJc w:val="end"/>
      <w:pPr>
        <w:tabs>
          <w:tab w:val="num" w:pos="0"/>
        </w:tabs>
        <w:ind w:start="6480" w:hanging="180"/>
      </w:pPr>
      <w:rPr/>
    </w:lvl>
  </w:abstractNum>
  <w:abstractNum w:abstractNumId="22">
    <w:lvl w:ilvl="0">
      <w:start w:val="1"/>
      <w:numFmt w:val="decimal"/>
      <w:lvlText w:val="%1."/>
      <w:lvlJc w:val="start"/>
      <w:pPr>
        <w:tabs>
          <w:tab w:val="num" w:pos="0"/>
        </w:tabs>
        <w:ind w:start="720" w:hanging="360"/>
      </w:pPr>
      <w:rPr/>
    </w:lvl>
    <w:lvl w:ilvl="1">
      <w:start w:val="1"/>
      <w:numFmt w:val="lowerLetter"/>
      <w:lvlText w:val="%2."/>
      <w:lvlJc w:val="start"/>
      <w:pPr>
        <w:tabs>
          <w:tab w:val="num" w:pos="0"/>
        </w:tabs>
        <w:ind w:start="1440" w:hanging="360"/>
      </w:pPr>
      <w:rPr/>
    </w:lvl>
    <w:lvl w:ilvl="2">
      <w:start w:val="1"/>
      <w:numFmt w:val="lowerRoman"/>
      <w:lvlText w:val="%3."/>
      <w:lvlJc w:val="end"/>
      <w:pPr>
        <w:tabs>
          <w:tab w:val="num" w:pos="0"/>
        </w:tabs>
        <w:ind w:start="2160" w:hanging="180"/>
      </w:pPr>
      <w:rPr/>
    </w:lvl>
    <w:lvl w:ilvl="3">
      <w:start w:val="1"/>
      <w:numFmt w:val="decimal"/>
      <w:lvlText w:val="%4."/>
      <w:lvlJc w:val="start"/>
      <w:pPr>
        <w:tabs>
          <w:tab w:val="num" w:pos="0"/>
        </w:tabs>
        <w:ind w:start="2880" w:hanging="360"/>
      </w:pPr>
      <w:rPr/>
    </w:lvl>
    <w:lvl w:ilvl="4">
      <w:start w:val="1"/>
      <w:numFmt w:val="lowerLetter"/>
      <w:lvlText w:val="%5."/>
      <w:lvlJc w:val="start"/>
      <w:pPr>
        <w:tabs>
          <w:tab w:val="num" w:pos="0"/>
        </w:tabs>
        <w:ind w:start="3600" w:hanging="360"/>
      </w:pPr>
      <w:rPr/>
    </w:lvl>
    <w:lvl w:ilvl="5">
      <w:start w:val="1"/>
      <w:numFmt w:val="lowerRoman"/>
      <w:lvlText w:val="%6."/>
      <w:lvlJc w:val="end"/>
      <w:pPr>
        <w:tabs>
          <w:tab w:val="num" w:pos="0"/>
        </w:tabs>
        <w:ind w:start="4320" w:hanging="180"/>
      </w:pPr>
      <w:rPr/>
    </w:lvl>
    <w:lvl w:ilvl="6">
      <w:start w:val="1"/>
      <w:numFmt w:val="decimal"/>
      <w:lvlText w:val="%7."/>
      <w:lvlJc w:val="start"/>
      <w:pPr>
        <w:tabs>
          <w:tab w:val="num" w:pos="0"/>
        </w:tabs>
        <w:ind w:start="5040" w:hanging="360"/>
      </w:pPr>
      <w:rPr/>
    </w:lvl>
    <w:lvl w:ilvl="7">
      <w:start w:val="1"/>
      <w:numFmt w:val="lowerLetter"/>
      <w:lvlText w:val="%8."/>
      <w:lvlJc w:val="start"/>
      <w:pPr>
        <w:tabs>
          <w:tab w:val="num" w:pos="0"/>
        </w:tabs>
        <w:ind w:start="5760" w:hanging="360"/>
      </w:pPr>
      <w:rPr/>
    </w:lvl>
    <w:lvl w:ilvl="8">
      <w:start w:val="1"/>
      <w:numFmt w:val="lowerRoman"/>
      <w:lvlText w:val="%9."/>
      <w:lvlJc w:val="end"/>
      <w:pPr>
        <w:tabs>
          <w:tab w:val="num" w:pos="0"/>
        </w:tabs>
        <w:ind w:start="6480" w:hanging="18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bering>
</file>

<file path=word/settings.xml><?xml version="1.0" encoding="utf-8"?>
<w:settings xmlns:w="http://schemas.openxmlformats.org/wordprocessingml/2006/main">
  <w:zoom w:percent="100"/>
  <w:trackRevisions/>
  <w:defaultTabStop w:val="720"/>
  <w:autoHyphenation w:val="true"/>
  <w:hyphenationZone w:val="360"/>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Batang" w:cs="Times New Roman"/>
        <w:lang w:val="en-GB" w:eastAsia="en-GB"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fa1532"/>
    <w:pPr>
      <w:widowControl/>
      <w:suppressAutoHyphens w:val="true"/>
      <w:bidi w:val="0"/>
      <w:spacing w:before="120" w:after="120"/>
      <w:jc w:val="start"/>
    </w:pPr>
    <w:rPr>
      <w:rFonts w:cs="Calibri" w:ascii="Calibri" w:hAnsi="Calibri" w:eastAsia="Batang"/>
      <w:color w:val="auto"/>
      <w:kern w:val="0"/>
      <w:sz w:val="24"/>
      <w:szCs w:val="22"/>
      <w:lang w:val="en-GB" w:eastAsia="en-GB" w:bidi="ar-SA"/>
    </w:rPr>
  </w:style>
  <w:style w:type="paragraph" w:styleId="Heading1">
    <w:name w:val="heading 1"/>
    <w:basedOn w:val="Normal"/>
    <w:next w:val="BodyText"/>
    <w:link w:val="Heading1Char"/>
    <w:uiPriority w:val="9"/>
    <w:qFormat/>
    <w:pPr>
      <w:keepNext w:val="true"/>
      <w:numPr>
        <w:ilvl w:val="0"/>
        <w:numId w:val="1"/>
      </w:numPr>
      <w:spacing w:before="960" w:after="480"/>
      <w:outlineLvl w:val="0"/>
    </w:pPr>
    <w:rPr>
      <w:b/>
      <w:caps/>
      <w:color w:val="0070C0"/>
      <w:kern w:val="2"/>
      <w:lang w:eastAsia="de-DE"/>
    </w:rPr>
  </w:style>
  <w:style w:type="paragraph" w:styleId="Heading2">
    <w:name w:val="heading 2"/>
    <w:basedOn w:val="Normal"/>
    <w:next w:val="BodyText"/>
    <w:link w:val="Heading2Char"/>
    <w:uiPriority w:val="9"/>
    <w:unhideWhenUsed/>
    <w:qFormat/>
    <w:pPr>
      <w:numPr>
        <w:ilvl w:val="1"/>
        <w:numId w:val="1"/>
      </w:numPr>
      <w:spacing w:before="480" w:after="240"/>
      <w:outlineLvl w:val="1"/>
    </w:pPr>
    <w:rPr>
      <w:b/>
      <w:color w:val="0070C0"/>
      <w:szCs w:val="24"/>
    </w:rPr>
  </w:style>
  <w:style w:type="paragraph" w:styleId="Heading3">
    <w:name w:val="heading 3"/>
    <w:basedOn w:val="Normal"/>
    <w:next w:val="BodyText"/>
    <w:link w:val="Heading3Char"/>
    <w:uiPriority w:val="9"/>
    <w:unhideWhenUsed/>
    <w:qFormat/>
    <w:pPr>
      <w:keepNext w:val="true"/>
      <w:numPr>
        <w:ilvl w:val="2"/>
        <w:numId w:val="1"/>
      </w:numPr>
      <w:spacing w:before="240" w:after="120"/>
      <w:outlineLvl w:val="2"/>
    </w:pPr>
    <w:rPr>
      <w:szCs w:val="20"/>
      <w:lang w:eastAsia="de-DE"/>
    </w:rPr>
  </w:style>
  <w:style w:type="paragraph" w:styleId="Heading4">
    <w:name w:val="heading 4"/>
    <w:basedOn w:val="Normal"/>
    <w:next w:val="BodyTextIndent"/>
    <w:uiPriority w:val="9"/>
    <w:semiHidden/>
    <w:unhideWhenUsed/>
    <w:qFormat/>
    <w:pPr>
      <w:keepNext w:val="true"/>
      <w:numPr>
        <w:ilvl w:val="3"/>
        <w:numId w:val="1"/>
      </w:numPr>
      <w:outlineLvl w:val="3"/>
    </w:pPr>
    <w:rPr>
      <w:szCs w:val="20"/>
      <w:lang w:val="en-US" w:eastAsia="de-DE"/>
    </w:rPr>
  </w:style>
  <w:style w:type="paragraph" w:styleId="Heading5">
    <w:name w:val="heading 5"/>
    <w:basedOn w:val="Normal"/>
    <w:next w:val="Normal"/>
    <w:uiPriority w:val="9"/>
    <w:semiHidden/>
    <w:unhideWhenUsed/>
    <w:qFormat/>
    <w:pPr>
      <w:numPr>
        <w:ilvl w:val="4"/>
        <w:numId w:val="1"/>
      </w:numPr>
      <w:spacing w:before="240" w:after="120"/>
      <w:outlineLvl w:val="4"/>
    </w:pPr>
    <w:rPr>
      <w:rFonts w:eastAsia="Times New Roman" w:cs="Times New Roman"/>
      <w:szCs w:val="20"/>
      <w:lang w:val="de-DE" w:eastAsia="de-DE"/>
    </w:rPr>
  </w:style>
  <w:style w:type="paragraph" w:styleId="Heading6">
    <w:name w:val="heading 6"/>
    <w:basedOn w:val="Normal"/>
    <w:next w:val="BodyTextIndent2"/>
    <w:uiPriority w:val="9"/>
    <w:semiHidden/>
    <w:unhideWhenUsed/>
    <w:qFormat/>
    <w:pPr>
      <w:numPr>
        <w:ilvl w:val="5"/>
        <w:numId w:val="1"/>
      </w:numPr>
      <w:tabs>
        <w:tab w:val="clear" w:pos="720"/>
        <w:tab w:val="left" w:pos="1418" w:leader="none"/>
      </w:tabs>
      <w:outlineLvl w:val="5"/>
    </w:pPr>
    <w:rPr>
      <w:szCs w:val="20"/>
      <w:lang w:val="de-DE" w:eastAsia="de-DE"/>
    </w:rPr>
  </w:style>
  <w:style w:type="paragraph" w:styleId="Heading7">
    <w:name w:val="heading 7"/>
    <w:basedOn w:val="Normal"/>
    <w:next w:val="BodyTextIndent2"/>
    <w:qFormat/>
    <w:pPr>
      <w:numPr>
        <w:ilvl w:val="6"/>
        <w:numId w:val="1"/>
      </w:numPr>
      <w:tabs>
        <w:tab w:val="clear" w:pos="720"/>
        <w:tab w:val="left" w:pos="1701" w:leader="none"/>
      </w:tabs>
      <w:outlineLvl w:val="6"/>
    </w:pPr>
    <w:rPr>
      <w:szCs w:val="20"/>
      <w:lang w:val="de-DE" w:eastAsia="de-DE"/>
    </w:rPr>
  </w:style>
  <w:style w:type="paragraph" w:styleId="Heading8">
    <w:name w:val="heading 8"/>
    <w:basedOn w:val="Normal"/>
    <w:next w:val="BodyTextIndent2"/>
    <w:qFormat/>
    <w:pPr>
      <w:numPr>
        <w:ilvl w:val="7"/>
        <w:numId w:val="1"/>
      </w:numPr>
      <w:tabs>
        <w:tab w:val="clear" w:pos="720"/>
        <w:tab w:val="left" w:pos="1985" w:leader="none"/>
      </w:tabs>
      <w:outlineLvl w:val="7"/>
    </w:pPr>
    <w:rPr>
      <w:szCs w:val="20"/>
      <w:lang w:val="de-DE" w:eastAsia="de-DE"/>
    </w:rPr>
  </w:style>
  <w:style w:type="paragraph" w:styleId="Heading9">
    <w:name w:val="heading 9"/>
    <w:basedOn w:val="Normal"/>
    <w:next w:val="BodyTextIndent2"/>
    <w:qFormat/>
    <w:pPr>
      <w:numPr>
        <w:ilvl w:val="8"/>
        <w:numId w:val="1"/>
      </w:numPr>
      <w:tabs>
        <w:tab w:val="clear" w:pos="720"/>
        <w:tab w:val="left" w:pos="2268" w:leader="none"/>
      </w:tabs>
      <w:outlineLvl w:val="8"/>
    </w:pPr>
    <w:rPr>
      <w:szCs w:val="20"/>
      <w:lang w:val="de-DE" w:eastAsia="de-DE"/>
    </w:rPr>
  </w:style>
  <w:style w:type="character" w:styleId="DefaultParagraphFont" w:default="1">
    <w:name w:val="Default Paragraph Font"/>
    <w:uiPriority w:val="1"/>
    <w:unhideWhenUsed/>
    <w:qFormat/>
    <w:rPr/>
  </w:style>
  <w:style w:type="character" w:styleId="1Char" w:customStyle="1">
    <w:name w:val="제목 1 Char"/>
    <w:qFormat/>
    <w:rPr>
      <w:rFonts w:cs="Calibri"/>
      <w:b/>
      <w:caps/>
      <w:color w:val="0070C0"/>
      <w:kern w:val="2"/>
      <w:sz w:val="24"/>
      <w:szCs w:val="22"/>
      <w:lang w:eastAsia="de-DE"/>
    </w:rPr>
  </w:style>
  <w:style w:type="character" w:styleId="2Char" w:customStyle="1">
    <w:name w:val="제목 2 Char"/>
    <w:qFormat/>
    <w:rPr>
      <w:rFonts w:cs="Calibri"/>
      <w:b/>
      <w:color w:val="0070C0"/>
      <w:sz w:val="24"/>
      <w:szCs w:val="24"/>
    </w:rPr>
  </w:style>
  <w:style w:type="character" w:styleId="Char" w:customStyle="1">
    <w:name w:val="본문 Char"/>
    <w:qFormat/>
    <w:rPr>
      <w:rFonts w:ascii="Arial" w:hAnsi="Arial" w:cs="Times New Roman"/>
      <w:szCs w:val="24"/>
    </w:rPr>
  </w:style>
  <w:style w:type="character" w:styleId="Char1" w:customStyle="1">
    <w:name w:val="바닥글 Char"/>
    <w:qFormat/>
    <w:rPr>
      <w:rFonts w:ascii="Arial" w:hAnsi="Arial" w:cs="Times New Roman"/>
      <w:szCs w:val="24"/>
    </w:rPr>
  </w:style>
  <w:style w:type="character" w:styleId="Char2" w:customStyle="1">
    <w:name w:val="머리글 Char"/>
    <w:qFormat/>
    <w:rPr>
      <w:rFonts w:ascii="Arial" w:hAnsi="Arial" w:eastAsia="Calibri" w:cs="Times New Roman"/>
      <w:szCs w:val="24"/>
      <w:lang w:eastAsia="en-GB"/>
    </w:rPr>
  </w:style>
  <w:style w:type="character" w:styleId="3Char" w:customStyle="1">
    <w:name w:val="제목 3 Char"/>
    <w:qFormat/>
    <w:rPr>
      <w:rFonts w:cs="Calibri"/>
      <w:sz w:val="22"/>
      <w:lang w:eastAsia="de-DE"/>
    </w:rPr>
  </w:style>
  <w:style w:type="character" w:styleId="4Char" w:customStyle="1">
    <w:name w:val="제목 4 Char"/>
    <w:qFormat/>
    <w:rPr>
      <w:rFonts w:ascii="Arial" w:hAnsi="Arial" w:cs="Calibri"/>
      <w:szCs w:val="20"/>
      <w:lang w:val="en-US" w:eastAsia="de-DE"/>
    </w:rPr>
  </w:style>
  <w:style w:type="character" w:styleId="5Char" w:customStyle="1">
    <w:name w:val="제목 5 Char"/>
    <w:qFormat/>
    <w:rPr>
      <w:rFonts w:ascii="Arial" w:hAnsi="Arial" w:eastAsia="Times New Roman" w:cs="Times New Roman"/>
      <w:szCs w:val="20"/>
      <w:lang w:val="de-DE" w:eastAsia="de-DE"/>
    </w:rPr>
  </w:style>
  <w:style w:type="character" w:styleId="6Char" w:customStyle="1">
    <w:name w:val="제목 6 Char"/>
    <w:qFormat/>
    <w:rPr>
      <w:rFonts w:ascii="Arial" w:hAnsi="Arial" w:cs="Calibri"/>
      <w:szCs w:val="20"/>
      <w:lang w:val="de-DE" w:eastAsia="de-DE"/>
    </w:rPr>
  </w:style>
  <w:style w:type="character" w:styleId="7Char" w:customStyle="1">
    <w:name w:val="제목 7 Char"/>
    <w:qFormat/>
    <w:rPr>
      <w:rFonts w:ascii="Arial" w:hAnsi="Arial" w:cs="Calibri"/>
      <w:szCs w:val="20"/>
      <w:lang w:val="de-DE" w:eastAsia="de-DE"/>
    </w:rPr>
  </w:style>
  <w:style w:type="character" w:styleId="8Char" w:customStyle="1">
    <w:name w:val="제목 8 Char"/>
    <w:qFormat/>
    <w:rPr>
      <w:rFonts w:ascii="Arial" w:hAnsi="Arial" w:cs="Calibri"/>
      <w:szCs w:val="20"/>
      <w:lang w:val="de-DE" w:eastAsia="de-DE"/>
    </w:rPr>
  </w:style>
  <w:style w:type="character" w:styleId="9Char" w:customStyle="1">
    <w:name w:val="제목 9 Char"/>
    <w:qFormat/>
    <w:rPr>
      <w:rFonts w:ascii="Arial" w:hAnsi="Arial" w:cs="Calibri"/>
      <w:szCs w:val="20"/>
      <w:lang w:val="de-DE" w:eastAsia="de-DE"/>
    </w:rPr>
  </w:style>
  <w:style w:type="character" w:styleId="Hyperlink">
    <w:name w:val="Hyperlink"/>
    <w:rPr>
      <w:strike w:val="false"/>
      <w:dstrike w:val="false"/>
      <w:position w:val="0"/>
      <w:sz w:val="20"/>
      <w:vertAlign w:val="baseline"/>
    </w:rPr>
  </w:style>
  <w:style w:type="character" w:styleId="PageNumber">
    <w:name w:val="page number"/>
    <w:basedOn w:val="DefaultParagraphFont"/>
    <w:qFormat/>
    <w:rPr/>
  </w:style>
  <w:style w:type="character" w:styleId="Char3" w:customStyle="1">
    <w:name w:val="본문 들여쓰기 Char"/>
    <w:qFormat/>
    <w:rPr>
      <w:rFonts w:ascii="Arial" w:hAnsi="Arial" w:cs="Times New Roman"/>
      <w:szCs w:val="24"/>
    </w:rPr>
  </w:style>
  <w:style w:type="character" w:styleId="2Char1" w:customStyle="1">
    <w:name w:val="본문 들여쓰기 2 Char"/>
    <w:qFormat/>
    <w:rPr>
      <w:rFonts w:ascii="Arial" w:hAnsi="Arial" w:cs="Times New Roman"/>
      <w:szCs w:val="24"/>
      <w:lang w:eastAsia="de-DE"/>
    </w:rPr>
  </w:style>
  <w:style w:type="character" w:styleId="FootnoteCharacters" w:customStyle="1">
    <w:name w:val="Footnote Characters"/>
    <w:qFormat/>
    <w:rPr>
      <w:rFonts w:ascii="Arial" w:hAnsi="Arial"/>
      <w:sz w:val="16"/>
      <w:vertAlign w:val="superscript"/>
    </w:rPr>
  </w:style>
  <w:style w:type="character" w:styleId="FootnoteCharactersuser" w:customStyle="1">
    <w:name w:val="Footnote Characters (user)"/>
    <w:qFormat/>
    <w:rPr>
      <w:rFonts w:ascii="Arial" w:hAnsi="Arial"/>
      <w:sz w:val="16"/>
      <w:vertAlign w:val="superscript"/>
    </w:rPr>
  </w:style>
  <w:style w:type="character" w:styleId="FootnoteReference">
    <w:name w:val="footnote reference"/>
    <w:rPr>
      <w:rFonts w:ascii="Arial" w:hAnsi="Arial"/>
      <w:sz w:val="16"/>
      <w:vertAlign w:val="superscript"/>
    </w:rPr>
  </w:style>
  <w:style w:type="character" w:styleId="Char4" w:customStyle="1">
    <w:name w:val="각주 텍스트 Char"/>
    <w:qFormat/>
    <w:rPr>
      <w:rFonts w:ascii="Arial" w:hAnsi="Arial" w:cs="Times New Roman"/>
      <w:sz w:val="20"/>
      <w:szCs w:val="20"/>
    </w:rPr>
  </w:style>
  <w:style w:type="character" w:styleId="Char5" w:customStyle="1">
    <w:name w:val="부제 Char"/>
    <w:qFormat/>
    <w:rPr>
      <w:rFonts w:ascii="Arial" w:hAnsi="Arial" w:cs="Arial"/>
      <w:szCs w:val="24"/>
    </w:rPr>
  </w:style>
  <w:style w:type="character" w:styleId="Char6" w:customStyle="1">
    <w:name w:val="제목 Char"/>
    <w:qFormat/>
    <w:rPr>
      <w:rFonts w:ascii="Arial" w:hAnsi="Arial" w:cs="Arial"/>
      <w:b/>
      <w:bCs/>
      <w:kern w:val="2"/>
      <w:sz w:val="32"/>
      <w:szCs w:val="32"/>
    </w:rPr>
  </w:style>
  <w:style w:type="character" w:styleId="Char7" w:customStyle="1">
    <w:name w:val="풍선 도움말 텍스트 Char"/>
    <w:basedOn w:val="DefaultParagraphFont"/>
    <w:qFormat/>
    <w:rPr>
      <w:rFonts w:ascii="Tahoma" w:hAnsi="Tahoma" w:cs="Tahoma"/>
      <w:sz w:val="16"/>
      <w:szCs w:val="16"/>
    </w:rPr>
  </w:style>
  <w:style w:type="character" w:styleId="CommentReference">
    <w:name w:val="annotation reference"/>
    <w:basedOn w:val="DefaultParagraphFont"/>
    <w:qFormat/>
    <w:rPr>
      <w:sz w:val="16"/>
      <w:szCs w:val="16"/>
    </w:rPr>
  </w:style>
  <w:style w:type="character" w:styleId="Char8" w:customStyle="1">
    <w:name w:val="메모 텍스트 Char"/>
    <w:basedOn w:val="DefaultParagraphFont"/>
    <w:qFormat/>
    <w:rPr>
      <w:rFonts w:ascii="Arial" w:hAnsi="Arial" w:cs="Calibri"/>
    </w:rPr>
  </w:style>
  <w:style w:type="character" w:styleId="Char9" w:customStyle="1">
    <w:name w:val="메모 주제 Char"/>
    <w:basedOn w:val="Char8"/>
    <w:qFormat/>
    <w:rPr>
      <w:rFonts w:ascii="Arial" w:hAnsi="Arial" w:cs="Calibri"/>
      <w:b/>
      <w:bCs/>
    </w:rPr>
  </w:style>
  <w:style w:type="character" w:styleId="NumberingSymbols" w:customStyle="1">
    <w:name w:val="Numbering Symbols"/>
    <w:qFormat/>
    <w:rPr/>
  </w:style>
  <w:style w:type="character" w:styleId="Bullets" w:customStyle="1">
    <w:name w:val="Bullets"/>
    <w:qFormat/>
    <w:rPr>
      <w:rFonts w:ascii="OpenSymbol" w:hAnsi="OpenSymbol" w:eastAsia="OpenSymbol" w:cs="OpenSymbol"/>
    </w:rPr>
  </w:style>
  <w:style w:type="character" w:styleId="Strong">
    <w:name w:val="Strong"/>
    <w:basedOn w:val="DefaultParagraphFont"/>
    <w:uiPriority w:val="22"/>
    <w:qFormat/>
    <w:rsid w:val="00ef27ad"/>
    <w:rPr>
      <w:b/>
      <w:bCs/>
    </w:rPr>
  </w:style>
  <w:style w:type="character" w:styleId="Emphasis">
    <w:name w:val="Emphasis"/>
    <w:basedOn w:val="DefaultParagraphFont"/>
    <w:uiPriority w:val="20"/>
    <w:qFormat/>
    <w:rsid w:val="00ef27ad"/>
    <w:rPr>
      <w:i/>
      <w:iCs/>
    </w:rPr>
  </w:style>
  <w:style w:type="character" w:styleId="LineNumber">
    <w:name w:val="line number"/>
    <w:rPr/>
  </w:style>
  <w:style w:type="character" w:styleId="UnresolvedMention">
    <w:name w:val="Unresolved Mention"/>
    <w:basedOn w:val="DefaultParagraphFont"/>
    <w:uiPriority w:val="99"/>
    <w:semiHidden/>
    <w:unhideWhenUsed/>
    <w:qFormat/>
    <w:rsid w:val="00482219"/>
    <w:rPr>
      <w:color w:val="605E5C"/>
      <w:shd w:fill="E1DFDD" w:val="clear"/>
    </w:rPr>
  </w:style>
  <w:style w:type="character" w:styleId="HTMLCode">
    <w:name w:val="HTML Code"/>
    <w:basedOn w:val="DefaultParagraphFont"/>
    <w:uiPriority w:val="99"/>
    <w:semiHidden/>
    <w:unhideWhenUsed/>
    <w:qFormat/>
    <w:rsid w:val="00482219"/>
    <w:rPr>
      <w:rFonts w:ascii="Courier New" w:hAnsi="Courier New" w:eastAsia="Times New Roman" w:cs="Courier New"/>
      <w:sz w:val="20"/>
      <w:szCs w:val="20"/>
    </w:rPr>
  </w:style>
  <w:style w:type="character" w:styleId="List1Char" w:customStyle="1">
    <w:name w:val="List 1 Char"/>
    <w:basedOn w:val="DefaultParagraphFont"/>
    <w:link w:val="List1"/>
    <w:qFormat/>
    <w:locked/>
    <w:rsid w:val="00482219"/>
    <w:rPr>
      <w:rFonts w:ascii="Times New Roman" w:hAnsi="Times New Roman" w:eastAsia="Times New Roman"/>
    </w:rPr>
  </w:style>
  <w:style w:type="character" w:styleId="BodyTextChar" w:customStyle="1">
    <w:name w:val="Body Text Char"/>
    <w:basedOn w:val="DefaultParagraphFont"/>
    <w:qFormat/>
    <w:rsid w:val="00243549"/>
    <w:rPr>
      <w:rFonts w:cs="Calibri"/>
      <w:sz w:val="24"/>
      <w:szCs w:val="22"/>
    </w:rPr>
  </w:style>
  <w:style w:type="character" w:styleId="Heading2Char" w:customStyle="1">
    <w:name w:val="Heading 2 Char"/>
    <w:basedOn w:val="DefaultParagraphFont"/>
    <w:link w:val="Heading2"/>
    <w:uiPriority w:val="9"/>
    <w:qFormat/>
    <w:rsid w:val="00d04546"/>
    <w:rPr>
      <w:rFonts w:cs="Calibri"/>
      <w:b/>
      <w:color w:val="0070C0"/>
      <w:sz w:val="24"/>
      <w:szCs w:val="24"/>
    </w:rPr>
  </w:style>
  <w:style w:type="character" w:styleId="Heading3Char" w:customStyle="1">
    <w:name w:val="Heading 3 Char"/>
    <w:basedOn w:val="DefaultParagraphFont"/>
    <w:link w:val="Heading3"/>
    <w:uiPriority w:val="9"/>
    <w:qFormat/>
    <w:rsid w:val="00d04546"/>
    <w:rPr>
      <w:rFonts w:cs="Calibri"/>
      <w:sz w:val="24"/>
      <w:lang w:eastAsia="de-DE"/>
    </w:rPr>
  </w:style>
  <w:style w:type="character" w:styleId="Heading1Char" w:customStyle="1">
    <w:name w:val="Heading 1 Char"/>
    <w:basedOn w:val="DefaultParagraphFont"/>
    <w:link w:val="Heading1"/>
    <w:uiPriority w:val="9"/>
    <w:qFormat/>
    <w:rsid w:val="00c07c67"/>
    <w:rPr>
      <w:rFonts w:cs="Calibri"/>
      <w:b/>
      <w:caps/>
      <w:color w:val="0070C0"/>
      <w:kern w:val="2"/>
      <w:sz w:val="24"/>
      <w:szCs w:val="22"/>
      <w:lang w:eastAsia="de-DE"/>
    </w:rPr>
  </w:style>
  <w:style w:type="paragraph" w:styleId="Heading" w:customStyle="1">
    <w:name w:val="Heading"/>
    <w:basedOn w:val="Normal"/>
    <w:next w:val="BodyText"/>
    <w:qFormat/>
    <w:pPr>
      <w:keepNext w:val="true"/>
      <w:spacing w:before="240" w:after="120"/>
    </w:pPr>
    <w:rPr>
      <w:rFonts w:ascii="Liberation Sans" w:hAnsi="Liberation Sans" w:eastAsia="PingFang SC" w:cs="Lucida Sans"/>
      <w:sz w:val="28"/>
      <w:szCs w:val="28"/>
    </w:rPr>
  </w:style>
  <w:style w:type="paragraph" w:styleId="BodyText">
    <w:name w:val="Body Text"/>
    <w:basedOn w:val="Normal"/>
    <w:link w:val="BodyTextChar"/>
    <w:pPr>
      <w:spacing w:before="0" w:after="120"/>
      <w:jc w:val="both"/>
    </w:pPr>
    <w:rPr/>
  </w:style>
  <w:style w:type="paragraph" w:styleId="List">
    <w:name w:val="List"/>
    <w:basedOn w:val="BodyText"/>
    <w:pPr/>
    <w:rPr>
      <w:rFonts w:cs="Lucida Sans"/>
    </w:rPr>
  </w:style>
  <w:style w:type="paragraph" w:styleId="Caption">
    <w:name w:val="caption"/>
    <w:basedOn w:val="Normal"/>
    <w:qFormat/>
    <w:pPr>
      <w:suppressLineNumbers/>
    </w:pPr>
    <w:rPr>
      <w:rFonts w:cs="Lucida Sans"/>
      <w:i/>
      <w:iCs/>
      <w:szCs w:val="24"/>
    </w:rPr>
  </w:style>
  <w:style w:type="paragraph" w:styleId="Index" w:customStyle="1">
    <w:name w:val="Index"/>
    <w:basedOn w:val="Normal"/>
    <w:qFormat/>
    <w:pPr>
      <w:suppressLineNumbers/>
    </w:pPr>
    <w:rPr>
      <w:rFonts w:cs="Lucida Sans"/>
    </w:rPr>
  </w:style>
  <w:style w:type="paragraph" w:styleId="Annex" w:customStyle="1">
    <w:name w:val="Annex"/>
    <w:basedOn w:val="Heading1"/>
    <w:next w:val="Normal"/>
    <w:qFormat/>
    <w:pPr>
      <w:numPr>
        <w:ilvl w:val="0"/>
        <w:numId w:val="0"/>
      </w:numPr>
      <w:tabs>
        <w:tab w:val="clear" w:pos="720"/>
        <w:tab w:val="left" w:pos="1701" w:leader="none"/>
      </w:tabs>
      <w:jc w:val="both"/>
      <w:outlineLvl w:val="9"/>
    </w:pPr>
    <w:rPr>
      <w:kern w:val="0"/>
      <w:lang w:eastAsia="en-GB"/>
    </w:rPr>
  </w:style>
  <w:style w:type="paragraph" w:styleId="AnnexFigure" w:customStyle="1">
    <w:name w:val="Annex Figure"/>
    <w:basedOn w:val="Normal"/>
    <w:next w:val="Normal"/>
    <w:qFormat/>
    <w:pPr>
      <w:numPr>
        <w:ilvl w:val="0"/>
        <w:numId w:val="2"/>
      </w:numPr>
      <w:jc w:val="center"/>
    </w:pPr>
    <w:rPr>
      <w:i/>
    </w:rPr>
  </w:style>
  <w:style w:type="paragraph" w:styleId="AnnexHeading1" w:customStyle="1">
    <w:name w:val="Annex Heading 1"/>
    <w:basedOn w:val="Normal"/>
    <w:next w:val="BodyText"/>
    <w:qFormat/>
    <w:pPr>
      <w:numPr>
        <w:ilvl w:val="0"/>
        <w:numId w:val="3"/>
      </w:numPr>
    </w:pPr>
    <w:rPr>
      <w:rFonts w:cs="Arial"/>
      <w:b/>
      <w:caps/>
    </w:rPr>
  </w:style>
  <w:style w:type="paragraph" w:styleId="AnnexHeading2" w:customStyle="1">
    <w:name w:val="Annex Heading 2"/>
    <w:basedOn w:val="Normal"/>
    <w:next w:val="BodyText"/>
    <w:qFormat/>
    <w:pPr>
      <w:tabs>
        <w:tab w:val="clear" w:pos="720"/>
        <w:tab w:val="left" w:pos="567" w:leader="none"/>
      </w:tabs>
      <w:ind w:hanging="567" w:start="567"/>
    </w:pPr>
    <w:rPr>
      <w:rFonts w:cs="Arial"/>
      <w:b/>
    </w:rPr>
  </w:style>
  <w:style w:type="paragraph" w:styleId="AnnexHeading3" w:customStyle="1">
    <w:name w:val="Annex Heading 3"/>
    <w:basedOn w:val="Normal"/>
    <w:next w:val="Normal"/>
    <w:qFormat/>
    <w:pPr>
      <w:tabs>
        <w:tab w:val="clear" w:pos="720"/>
        <w:tab w:val="left" w:pos="567" w:leader="none"/>
      </w:tabs>
      <w:ind w:hanging="567" w:start="567"/>
    </w:pPr>
    <w:rPr>
      <w:rFonts w:cs="Arial"/>
    </w:rPr>
  </w:style>
  <w:style w:type="paragraph" w:styleId="AnnexHeading4" w:customStyle="1">
    <w:name w:val="Annex Heading 4"/>
    <w:basedOn w:val="Normal"/>
    <w:next w:val="BodyText"/>
    <w:qFormat/>
    <w:pPr>
      <w:tabs>
        <w:tab w:val="clear" w:pos="720"/>
        <w:tab w:val="left" w:pos="567" w:leader="none"/>
      </w:tabs>
      <w:ind w:hanging="567" w:start="567"/>
    </w:pPr>
    <w:rPr>
      <w:rFonts w:cs="Arial"/>
    </w:rPr>
  </w:style>
  <w:style w:type="paragraph" w:styleId="AnnexTable" w:customStyle="1">
    <w:name w:val="Annex Table"/>
    <w:basedOn w:val="Normal"/>
    <w:next w:val="Normal"/>
    <w:qFormat/>
    <w:pPr>
      <w:numPr>
        <w:ilvl w:val="0"/>
        <w:numId w:val="4"/>
      </w:numPr>
      <w:tabs>
        <w:tab w:val="clear" w:pos="720"/>
        <w:tab w:val="left" w:pos="1418" w:leader="none"/>
      </w:tabs>
      <w:jc w:val="center"/>
    </w:pPr>
    <w:rPr>
      <w:i/>
    </w:rPr>
  </w:style>
  <w:style w:type="paragraph" w:styleId="Bullet1" w:customStyle="1">
    <w:name w:val="Bullet 1"/>
    <w:basedOn w:val="Normal"/>
    <w:qFormat/>
    <w:pPr>
      <w:tabs>
        <w:tab w:val="clear" w:pos="720"/>
        <w:tab w:val="left" w:pos="1134" w:leader="none"/>
      </w:tabs>
      <w:spacing w:before="0" w:after="120"/>
      <w:ind w:hanging="567" w:start="1134"/>
      <w:jc w:val="both"/>
      <w:outlineLvl w:val="0"/>
    </w:pPr>
    <w:rPr>
      <w:rFonts w:cs="Arial"/>
      <w:lang w:eastAsia="de-DE"/>
    </w:rPr>
  </w:style>
  <w:style w:type="paragraph" w:styleId="Bullet1text" w:customStyle="1">
    <w:name w:val="Bullet 1 text"/>
    <w:basedOn w:val="Normal"/>
    <w:qFormat/>
    <w:pPr>
      <w:spacing w:before="0" w:after="120"/>
      <w:ind w:start="1134"/>
      <w:jc w:val="both"/>
    </w:pPr>
    <w:rPr>
      <w:rFonts w:cs="Arial"/>
      <w:lang w:val="fr-FR"/>
    </w:rPr>
  </w:style>
  <w:style w:type="paragraph" w:styleId="Bullet2" w:customStyle="1">
    <w:name w:val="Bullet 2"/>
    <w:basedOn w:val="Normal"/>
    <w:qFormat/>
    <w:pPr>
      <w:numPr>
        <w:ilvl w:val="0"/>
        <w:numId w:val="6"/>
      </w:numPr>
      <w:tabs>
        <w:tab w:val="clear" w:pos="720"/>
        <w:tab w:val="left" w:pos="1701" w:leader="none"/>
      </w:tabs>
      <w:spacing w:before="0" w:after="120"/>
      <w:ind w:hanging="567" w:start="1701"/>
      <w:jc w:val="both"/>
    </w:pPr>
    <w:rPr>
      <w:rFonts w:cs="Arial"/>
    </w:rPr>
  </w:style>
  <w:style w:type="paragraph" w:styleId="Bullet2text" w:customStyle="1">
    <w:name w:val="Bullet 2 text"/>
    <w:basedOn w:val="Normal"/>
    <w:qFormat/>
    <w:pPr>
      <w:spacing w:before="0" w:after="120"/>
      <w:ind w:start="1701"/>
      <w:jc w:val="both"/>
    </w:pPr>
    <w:rPr>
      <w:rFonts w:cs="Arial"/>
    </w:rPr>
  </w:style>
  <w:style w:type="paragraph" w:styleId="Bullet3" w:customStyle="1">
    <w:name w:val="Bullet 3"/>
    <w:basedOn w:val="Normal"/>
    <w:qFormat/>
    <w:pPr>
      <w:numPr>
        <w:ilvl w:val="0"/>
        <w:numId w:val="12"/>
      </w:numPr>
      <w:tabs>
        <w:tab w:val="clear" w:pos="720"/>
        <w:tab w:val="left" w:pos="2268" w:leader="none"/>
      </w:tabs>
      <w:spacing w:before="0" w:after="60"/>
      <w:ind w:hanging="567" w:start="2268"/>
      <w:jc w:val="both"/>
    </w:pPr>
    <w:rPr>
      <w:rFonts w:cs="Arial"/>
      <w:sz w:val="20"/>
    </w:rPr>
  </w:style>
  <w:style w:type="paragraph" w:styleId="Bullet3text" w:customStyle="1">
    <w:name w:val="Bullet 3 text"/>
    <w:basedOn w:val="Normal"/>
    <w:qFormat/>
    <w:pPr>
      <w:spacing w:before="0" w:after="60"/>
      <w:ind w:start="2268"/>
    </w:pPr>
    <w:rPr>
      <w:rFonts w:cs="Arial"/>
      <w:sz w:val="20"/>
    </w:rPr>
  </w:style>
  <w:style w:type="paragraph" w:styleId="Figure" w:customStyle="1">
    <w:name w:val="Figure_#"/>
    <w:basedOn w:val="Normal"/>
    <w:next w:val="Normal"/>
    <w:qFormat/>
    <w:pPr>
      <w:numPr>
        <w:ilvl w:val="0"/>
        <w:numId w:val="7"/>
      </w:numPr>
      <w:jc w:val="center"/>
    </w:pPr>
    <w:rPr>
      <w:i/>
      <w:szCs w:val="20"/>
    </w:rPr>
  </w:style>
  <w:style w:type="paragraph" w:styleId="HeaderandFooter" w:customStyle="1">
    <w:name w:val="Header and Footer"/>
    <w:basedOn w:val="Normal"/>
    <w:qFormat/>
    <w:pPr/>
    <w:rPr/>
  </w:style>
  <w:style w:type="paragraph" w:styleId="Footer">
    <w:name w:val="footer"/>
    <w:basedOn w:val="Normal"/>
    <w:pPr>
      <w:tabs>
        <w:tab w:val="clear" w:pos="720"/>
        <w:tab w:val="center" w:pos="4820" w:leader="none"/>
        <w:tab w:val="right" w:pos="9639" w:leader="none"/>
      </w:tabs>
    </w:pPr>
    <w:rPr/>
  </w:style>
  <w:style w:type="paragraph" w:styleId="Header">
    <w:name w:val="header"/>
    <w:basedOn w:val="Normal"/>
    <w:pPr>
      <w:tabs>
        <w:tab w:val="clear" w:pos="720"/>
        <w:tab w:val="center" w:pos="4820" w:leader="none"/>
        <w:tab w:val="right" w:pos="9639" w:leader="none"/>
      </w:tabs>
    </w:pPr>
    <w:rPr/>
  </w:style>
  <w:style w:type="paragraph" w:styleId="ListBullet3">
    <w:name w:val="List Bullet 3"/>
    <w:basedOn w:val="Normal"/>
    <w:qFormat/>
    <w:pPr>
      <w:numPr>
        <w:ilvl w:val="0"/>
        <w:numId w:val="10"/>
      </w:numPr>
      <w:spacing w:before="0" w:after="120"/>
      <w:jc w:val="both"/>
    </w:pPr>
    <w:rPr>
      <w:rFonts w:eastAsia="MS Mincho"/>
      <w:lang w:eastAsia="ja-JP"/>
    </w:rPr>
  </w:style>
  <w:style w:type="paragraph" w:styleId="List1indent2" w:customStyle="1">
    <w:name w:val="List 1 indent 2"/>
    <w:basedOn w:val="Normal"/>
    <w:qFormat/>
    <w:pPr>
      <w:widowControl w:val="false"/>
      <w:tabs>
        <w:tab w:val="clear" w:pos="720"/>
        <w:tab w:val="left" w:pos="567" w:leader="none"/>
      </w:tabs>
      <w:spacing w:before="0" w:after="120"/>
      <w:ind w:hanging="567" w:start="567"/>
      <w:jc w:val="both"/>
    </w:pPr>
    <w:rPr>
      <w:rFonts w:cs="Arial"/>
      <w:sz w:val="20"/>
      <w:szCs w:val="20"/>
    </w:rPr>
  </w:style>
  <w:style w:type="paragraph" w:styleId="List1indent2text" w:customStyle="1">
    <w:name w:val="List 1 indent 2 text"/>
    <w:basedOn w:val="Normal"/>
    <w:qFormat/>
    <w:pPr>
      <w:spacing w:before="0" w:after="60"/>
      <w:ind w:start="1701"/>
      <w:jc w:val="both"/>
    </w:pPr>
    <w:rPr>
      <w:rFonts w:cs="Arial"/>
      <w:sz w:val="20"/>
    </w:rPr>
  </w:style>
  <w:style w:type="paragraph" w:styleId="List1indenttext" w:customStyle="1">
    <w:name w:val="List 1 indent text"/>
    <w:basedOn w:val="Normal"/>
    <w:qFormat/>
    <w:pPr>
      <w:spacing w:before="0" w:after="120"/>
      <w:ind w:start="1134"/>
      <w:jc w:val="both"/>
    </w:pPr>
    <w:rPr>
      <w:szCs w:val="20"/>
    </w:rPr>
  </w:style>
  <w:style w:type="paragraph" w:styleId="List1text" w:customStyle="1">
    <w:name w:val="List 1 text"/>
    <w:basedOn w:val="Normal"/>
    <w:qFormat/>
    <w:pPr>
      <w:spacing w:before="0" w:after="120"/>
      <w:ind w:start="567"/>
    </w:pPr>
    <w:rPr>
      <w:rFonts w:cs="Arial"/>
    </w:rPr>
  </w:style>
  <w:style w:type="paragraph" w:styleId="TableofFigures">
    <w:name w:val="table of figures"/>
    <w:basedOn w:val="Normal"/>
    <w:next w:val="Normal"/>
    <w:qFormat/>
    <w:pPr>
      <w:tabs>
        <w:tab w:val="clear" w:pos="720"/>
        <w:tab w:val="left" w:pos="1418" w:leader="none"/>
        <w:tab w:val="right" w:pos="9639" w:leader="none"/>
      </w:tabs>
      <w:spacing w:before="60" w:after="60"/>
      <w:ind w:hanging="1418" w:start="1418" w:end="282"/>
    </w:pPr>
    <w:rPr>
      <w:rFonts w:eastAsia="Times New Roman" w:cs="Times New Roman"/>
      <w:szCs w:val="24"/>
      <w:lang w:eastAsia="en-US"/>
    </w:rPr>
  </w:style>
  <w:style w:type="paragraph" w:styleId="Table" w:customStyle="1">
    <w:name w:val="Table_#"/>
    <w:basedOn w:val="Normal"/>
    <w:next w:val="Normal"/>
    <w:qFormat/>
    <w:pPr>
      <w:numPr>
        <w:ilvl w:val="0"/>
        <w:numId w:val="9"/>
      </w:numPr>
      <w:jc w:val="center"/>
    </w:pPr>
    <w:rPr>
      <w:i/>
      <w:szCs w:val="20"/>
    </w:rPr>
  </w:style>
  <w:style w:type="paragraph" w:styleId="TOC1">
    <w:name w:val="toc 1"/>
    <w:basedOn w:val="Normal"/>
    <w:next w:val="Normal"/>
    <w:pPr>
      <w:tabs>
        <w:tab w:val="clear" w:pos="720"/>
        <w:tab w:val="left" w:pos="567" w:leader="none"/>
        <w:tab w:val="right" w:pos="9639" w:leader="none"/>
      </w:tabs>
      <w:spacing w:before="120" w:after="0"/>
      <w:ind w:end="284"/>
    </w:pPr>
    <w:rPr>
      <w:rFonts w:eastAsia="Times New Roman" w:cs="Arial"/>
      <w:bCs/>
      <w:iCs/>
      <w:caps/>
      <w:lang w:eastAsia="en-US"/>
    </w:rPr>
  </w:style>
  <w:style w:type="paragraph" w:styleId="TOC2">
    <w:name w:val="toc 2"/>
    <w:basedOn w:val="Normal"/>
    <w:next w:val="Normal"/>
    <w:pPr>
      <w:tabs>
        <w:tab w:val="clear" w:pos="720"/>
        <w:tab w:val="left" w:pos="1418" w:leader="none"/>
        <w:tab w:val="right" w:pos="9639" w:leader="none"/>
      </w:tabs>
      <w:spacing w:before="120" w:after="0"/>
      <w:ind w:hanging="851" w:start="1418" w:end="284"/>
    </w:pPr>
    <w:rPr>
      <w:rFonts w:eastAsia="Times New Roman" w:cs="Times New Roman"/>
      <w:bCs/>
      <w:szCs w:val="26"/>
      <w:lang w:eastAsia="en-US"/>
    </w:rPr>
  </w:style>
  <w:style w:type="paragraph" w:styleId="TOC3">
    <w:name w:val="toc 3"/>
    <w:basedOn w:val="Normal"/>
    <w:next w:val="Normal"/>
    <w:pPr>
      <w:tabs>
        <w:tab w:val="clear" w:pos="720"/>
        <w:tab w:val="left" w:pos="2268" w:leader="none"/>
        <w:tab w:val="right" w:pos="9639" w:leader="none"/>
      </w:tabs>
      <w:ind w:hanging="850" w:start="2268" w:end="284"/>
    </w:pPr>
    <w:rPr>
      <w:rFonts w:eastAsia="Times New Roman" w:cs="Times New Roman"/>
    </w:rPr>
  </w:style>
  <w:style w:type="paragraph" w:styleId="TOC4">
    <w:name w:val="toc 4"/>
    <w:basedOn w:val="Normal"/>
    <w:next w:val="Normal"/>
    <w:pPr>
      <w:tabs>
        <w:tab w:val="clear" w:pos="720"/>
        <w:tab w:val="left" w:pos="1418" w:leader="none"/>
        <w:tab w:val="right" w:pos="9639" w:leader="none"/>
      </w:tabs>
      <w:ind w:hanging="1418" w:start="1418" w:end="284"/>
    </w:pPr>
    <w:rPr>
      <w:rFonts w:eastAsia="Times New Roman" w:cs="Times New Roman"/>
      <w:b/>
      <w:caps/>
      <w:szCs w:val="24"/>
      <w:lang w:eastAsia="en-US"/>
    </w:rPr>
  </w:style>
  <w:style w:type="paragraph" w:styleId="TOC5">
    <w:name w:val="toc 5"/>
    <w:basedOn w:val="Normal"/>
    <w:next w:val="Normal"/>
    <w:autoRedefine/>
    <w:pPr>
      <w:ind w:start="880"/>
    </w:pPr>
    <w:rPr>
      <w:rFonts w:ascii="Times New Roman" w:hAnsi="Times New Roman" w:eastAsia="Times New Roman" w:cs="Times New Roman"/>
      <w:szCs w:val="24"/>
      <w:lang w:eastAsia="en-US"/>
    </w:rPr>
  </w:style>
  <w:style w:type="paragraph" w:styleId="TOC6">
    <w:name w:val="toc 6"/>
    <w:basedOn w:val="Normal"/>
    <w:next w:val="Normal"/>
    <w:autoRedefine/>
    <w:pPr>
      <w:ind w:start="1100"/>
    </w:pPr>
    <w:rPr>
      <w:rFonts w:ascii="Times New Roman" w:hAnsi="Times New Roman" w:eastAsia="Times New Roman" w:cs="Times New Roman"/>
      <w:szCs w:val="24"/>
      <w:lang w:eastAsia="en-US"/>
    </w:rPr>
  </w:style>
  <w:style w:type="paragraph" w:styleId="TOC7">
    <w:name w:val="toc 7"/>
    <w:basedOn w:val="Normal"/>
    <w:next w:val="Normal"/>
    <w:autoRedefine/>
    <w:pPr>
      <w:ind w:start="1200"/>
    </w:pPr>
    <w:rPr>
      <w:sz w:val="20"/>
      <w:szCs w:val="20"/>
    </w:rPr>
  </w:style>
  <w:style w:type="paragraph" w:styleId="TOC8">
    <w:name w:val="toc 8"/>
    <w:basedOn w:val="Normal"/>
    <w:next w:val="Normal"/>
    <w:autoRedefine/>
    <w:pPr>
      <w:ind w:start="1440"/>
    </w:pPr>
    <w:rPr>
      <w:sz w:val="20"/>
      <w:szCs w:val="20"/>
    </w:rPr>
  </w:style>
  <w:style w:type="paragraph" w:styleId="TOC9">
    <w:name w:val="toc 9"/>
    <w:basedOn w:val="Normal"/>
    <w:next w:val="Normal"/>
    <w:autoRedefine/>
    <w:pPr>
      <w:ind w:start="1680"/>
    </w:pPr>
    <w:rPr>
      <w:sz w:val="20"/>
      <w:szCs w:val="20"/>
    </w:rPr>
  </w:style>
  <w:style w:type="paragraph" w:styleId="BodyTextIndent">
    <w:name w:val="Body Text Indent"/>
    <w:basedOn w:val="Normal"/>
    <w:pPr>
      <w:spacing w:before="0" w:after="120"/>
      <w:ind w:start="567"/>
    </w:pPr>
    <w:rPr/>
  </w:style>
  <w:style w:type="paragraph" w:styleId="BodyTextIndent2">
    <w:name w:val="Body Text Indent 2"/>
    <w:basedOn w:val="Normal"/>
    <w:qFormat/>
    <w:pPr>
      <w:spacing w:before="0" w:after="120"/>
      <w:ind w:start="1134"/>
      <w:jc w:val="both"/>
    </w:pPr>
    <w:rPr>
      <w:lang w:eastAsia="de-DE"/>
    </w:rPr>
  </w:style>
  <w:style w:type="paragraph" w:styleId="FootnoteText">
    <w:name w:val="footnote text"/>
    <w:basedOn w:val="Normal"/>
    <w:pPr/>
    <w:rPr>
      <w:sz w:val="20"/>
      <w:szCs w:val="20"/>
    </w:rPr>
  </w:style>
  <w:style w:type="paragraph" w:styleId="Subtitle">
    <w:name w:val="Subtitle"/>
    <w:basedOn w:val="Normal"/>
    <w:uiPriority w:val="11"/>
    <w:qFormat/>
    <w:pPr>
      <w:spacing w:before="0" w:after="60"/>
      <w:jc w:val="center"/>
      <w:outlineLvl w:val="1"/>
    </w:pPr>
    <w:rPr>
      <w:rFonts w:cs="Arial"/>
    </w:rPr>
  </w:style>
  <w:style w:type="paragraph" w:styleId="Title">
    <w:name w:val="Title"/>
    <w:basedOn w:val="Normal"/>
    <w:uiPriority w:val="10"/>
    <w:qFormat/>
    <w:pPr>
      <w:spacing w:before="120" w:after="240"/>
      <w:jc w:val="center"/>
      <w:outlineLvl w:val="0"/>
    </w:pPr>
    <w:rPr>
      <w:rFonts w:cs="Arial"/>
      <w:b/>
      <w:bCs/>
      <w:kern w:val="2"/>
      <w:sz w:val="32"/>
      <w:szCs w:val="32"/>
    </w:rPr>
  </w:style>
  <w:style w:type="paragraph" w:styleId="List1indent1" w:customStyle="1">
    <w:name w:val="List 1 indent 1"/>
    <w:basedOn w:val="Normal"/>
    <w:qFormat/>
    <w:pPr>
      <w:tabs>
        <w:tab w:val="clear" w:pos="720"/>
        <w:tab w:val="left" w:pos="567" w:leader="none"/>
      </w:tabs>
      <w:spacing w:before="0" w:after="120"/>
      <w:ind w:hanging="567" w:start="567"/>
      <w:jc w:val="both"/>
    </w:pPr>
    <w:rPr>
      <w:rFonts w:cs="Arial"/>
    </w:rPr>
  </w:style>
  <w:style w:type="paragraph" w:styleId="List1indent1text" w:customStyle="1">
    <w:name w:val="List 1 indent 1 text"/>
    <w:basedOn w:val="Normal"/>
    <w:qFormat/>
    <w:pPr>
      <w:spacing w:before="0" w:after="120"/>
      <w:ind w:start="1134"/>
      <w:jc w:val="both"/>
    </w:pPr>
    <w:rPr>
      <w:rFonts w:cs="Arial"/>
      <w:lang w:eastAsia="fr-FR"/>
    </w:rPr>
  </w:style>
  <w:style w:type="paragraph" w:styleId="References" w:customStyle="1">
    <w:name w:val="References"/>
    <w:basedOn w:val="Normal"/>
    <w:qFormat/>
    <w:pPr>
      <w:numPr>
        <w:ilvl w:val="0"/>
        <w:numId w:val="8"/>
      </w:numPr>
      <w:spacing w:before="0" w:after="120"/>
    </w:pPr>
    <w:rPr>
      <w:szCs w:val="20"/>
    </w:rPr>
  </w:style>
  <w:style w:type="paragraph" w:styleId="AppendixHeading1" w:customStyle="1">
    <w:name w:val="Appendix Heading 1"/>
    <w:basedOn w:val="Normal"/>
    <w:next w:val="BodyText"/>
    <w:qFormat/>
    <w:pPr>
      <w:numPr>
        <w:ilvl w:val="0"/>
        <w:numId w:val="5"/>
      </w:numPr>
    </w:pPr>
    <w:rPr>
      <w:rFonts w:cs="Arial"/>
      <w:b/>
      <w:caps/>
    </w:rPr>
  </w:style>
  <w:style w:type="paragraph" w:styleId="AppendixHeading2" w:customStyle="1">
    <w:name w:val="Appendix Heading 2"/>
    <w:basedOn w:val="Normal"/>
    <w:next w:val="BodyText"/>
    <w:qFormat/>
    <w:pPr>
      <w:tabs>
        <w:tab w:val="clear" w:pos="720"/>
        <w:tab w:val="left" w:pos="567" w:leader="none"/>
      </w:tabs>
      <w:ind w:hanging="567" w:start="567"/>
    </w:pPr>
    <w:rPr>
      <w:rFonts w:cs="Arial"/>
      <w:b/>
    </w:rPr>
  </w:style>
  <w:style w:type="paragraph" w:styleId="AppendixHeading3" w:customStyle="1">
    <w:name w:val="Appendix Heading 3"/>
    <w:basedOn w:val="Normal"/>
    <w:next w:val="Normal"/>
    <w:qFormat/>
    <w:pPr>
      <w:tabs>
        <w:tab w:val="clear" w:pos="720"/>
        <w:tab w:val="left" w:pos="567" w:leader="none"/>
      </w:tabs>
      <w:ind w:hanging="567" w:start="567"/>
    </w:pPr>
    <w:rPr>
      <w:rFonts w:cs="Arial"/>
    </w:rPr>
  </w:style>
  <w:style w:type="paragraph" w:styleId="AppendixHeading4" w:customStyle="1">
    <w:name w:val="Appendix Heading 4"/>
    <w:basedOn w:val="Normal"/>
    <w:next w:val="BodyText"/>
    <w:qFormat/>
    <w:pPr>
      <w:tabs>
        <w:tab w:val="clear" w:pos="720"/>
        <w:tab w:val="left" w:pos="567" w:leader="none"/>
      </w:tabs>
      <w:ind w:hanging="567" w:start="567"/>
    </w:pPr>
    <w:rPr>
      <w:rFonts w:cs="Arial"/>
    </w:rPr>
  </w:style>
  <w:style w:type="paragraph" w:styleId="equation" w:customStyle="1">
    <w:name w:val="equation"/>
    <w:basedOn w:val="Normal"/>
    <w:next w:val="BodyText"/>
    <w:qFormat/>
    <w:pPr>
      <w:keepNext w:val="true"/>
      <w:numPr>
        <w:ilvl w:val="0"/>
        <w:numId w:val="11"/>
      </w:numPr>
      <w:tabs>
        <w:tab w:val="clear" w:pos="720"/>
        <w:tab w:val="left" w:pos="142" w:leader="none"/>
      </w:tabs>
      <w:spacing w:before="0" w:after="120"/>
      <w:jc w:val="end"/>
    </w:pPr>
    <w:rPr>
      <w:rFonts w:eastAsia="Times New Roman" w:cs="Times New Roman"/>
      <w:szCs w:val="24"/>
      <w:lang w:eastAsia="en-US"/>
    </w:rPr>
  </w:style>
  <w:style w:type="paragraph" w:styleId="Closing">
    <w:name w:val="Closing"/>
    <w:basedOn w:val="Normal"/>
    <w:next w:val="Normal"/>
    <w:qFormat/>
    <w:pPr>
      <w:numPr>
        <w:ilvl w:val="0"/>
        <w:numId w:val="13"/>
      </w:numPr>
      <w:spacing w:before="120" w:after="240"/>
      <w:ind w:hanging="1985" w:start="1985"/>
    </w:pPr>
    <w:rPr>
      <w:b/>
      <w:szCs w:val="28"/>
      <w:lang w:eastAsia="en-US"/>
    </w:rPr>
  </w:style>
  <w:style w:type="paragraph" w:styleId="BalloonText">
    <w:name w:val="Balloon Text"/>
    <w:basedOn w:val="Normal"/>
    <w:qFormat/>
    <w:pPr/>
    <w:rPr>
      <w:rFonts w:ascii="Tahoma" w:hAnsi="Tahoma" w:cs="Tahoma"/>
      <w:sz w:val="16"/>
      <w:szCs w:val="16"/>
    </w:rPr>
  </w:style>
  <w:style w:type="paragraph" w:styleId="ListParagraph">
    <w:name w:val="List Paragraph"/>
    <w:basedOn w:val="Normal"/>
    <w:qFormat/>
    <w:pPr>
      <w:spacing w:before="0" w:after="0"/>
      <w:ind w:start="720"/>
      <w:contextualSpacing/>
    </w:pPr>
    <w:rPr/>
  </w:style>
  <w:style w:type="paragraph" w:styleId="CommentText">
    <w:name w:val="annotation text"/>
    <w:basedOn w:val="Normal"/>
    <w:qFormat/>
    <w:pPr/>
    <w:rPr>
      <w:sz w:val="20"/>
      <w:szCs w:val="20"/>
    </w:rPr>
  </w:style>
  <w:style w:type="paragraph" w:styleId="annotationsubject">
    <w:name w:val="annotation subject"/>
    <w:basedOn w:val="CommentText"/>
    <w:next w:val="CommentText"/>
    <w:qFormat/>
    <w:pPr/>
    <w:rPr>
      <w:b/>
      <w:bCs/>
    </w:rPr>
  </w:style>
  <w:style w:type="paragraph" w:styleId="NormalWeb">
    <w:name w:val="Normal (Web)"/>
    <w:basedOn w:val="Normal"/>
    <w:uiPriority w:val="99"/>
    <w:qFormat/>
    <w:pPr>
      <w:spacing w:before="280" w:after="280"/>
    </w:pPr>
    <w:rPr>
      <w:rFonts w:ascii="Times New Roman" w:hAnsi="Times New Roman" w:eastAsia="MS Mincho" w:cs="Times New Roman"/>
      <w:szCs w:val="24"/>
      <w:lang w:val="da-DK" w:eastAsia="en-US"/>
    </w:rPr>
  </w:style>
  <w:style w:type="paragraph" w:styleId="TableContents" w:customStyle="1">
    <w:name w:val="Table Contents"/>
    <w:basedOn w:val="Normal"/>
    <w:qFormat/>
    <w:pPr>
      <w:widowControl w:val="false"/>
      <w:suppressLineNumbers/>
    </w:pPr>
    <w:rPr/>
  </w:style>
  <w:style w:type="paragraph" w:styleId="TableHeading" w:customStyle="1">
    <w:name w:val="Table Heading"/>
    <w:basedOn w:val="TableContents"/>
    <w:qFormat/>
    <w:pPr>
      <w:jc w:val="center"/>
    </w:pPr>
    <w:rPr>
      <w:b/>
      <w:bCs/>
    </w:rPr>
  </w:style>
  <w:style w:type="paragraph" w:styleId="Revision">
    <w:name w:val="Revision"/>
    <w:uiPriority w:val="99"/>
    <w:semiHidden/>
    <w:qFormat/>
    <w:rsid w:val="008675c2"/>
    <w:pPr>
      <w:widowControl/>
      <w:suppressAutoHyphens w:val="false"/>
      <w:bidi w:val="0"/>
      <w:spacing w:before="0" w:after="0"/>
      <w:jc w:val="start"/>
    </w:pPr>
    <w:rPr>
      <w:rFonts w:ascii="Arial" w:hAnsi="Arial" w:cs="Calibri" w:eastAsia="Batang"/>
      <w:color w:val="auto"/>
      <w:kern w:val="0"/>
      <w:sz w:val="22"/>
      <w:szCs w:val="22"/>
      <w:lang w:val="en-GB" w:eastAsia="en-GB" w:bidi="ar-SA"/>
    </w:rPr>
  </w:style>
  <w:style w:type="paragraph" w:styleId="List1" w:customStyle="1">
    <w:name w:val="List 1"/>
    <w:basedOn w:val="Normal"/>
    <w:link w:val="List1Char"/>
    <w:qFormat/>
    <w:rsid w:val="00482219"/>
    <w:pPr>
      <w:numPr>
        <w:ilvl w:val="0"/>
        <w:numId w:val="17"/>
      </w:numPr>
      <w:suppressAutoHyphens w:val="false"/>
      <w:spacing w:before="0" w:after="120"/>
      <w:jc w:val="both"/>
    </w:pPr>
    <w:rPr>
      <w:rFonts w:ascii="Times New Roman" w:hAnsi="Times New Roman" w:eastAsia="Times New Roman" w:cs="Times New Roman"/>
      <w:sz w:val="20"/>
      <w:szCs w:val="20"/>
    </w:rPr>
  </w:style>
  <w:style w:type="paragraph" w:styleId="Comment" w:customStyle="1">
    <w:name w:val="Comment"/>
    <w:basedOn w:val="Normal"/>
    <w:qFormat/>
    <w:pPr>
      <w:spacing w:before="56" w:after="0"/>
      <w:ind w:start="57" w:end="57"/>
    </w:pPr>
    <w:rPr>
      <w:sz w:val="20"/>
      <w:szCs w:val="20"/>
    </w:rPr>
  </w:style>
  <w:style w:type="paragraph" w:styleId="Bibliography">
    <w:name w:val="Bibliography"/>
    <w:basedOn w:val="Normal"/>
    <w:next w:val="Normal"/>
    <w:uiPriority w:val="37"/>
    <w:unhideWhenUsed/>
    <w:qFormat/>
    <w:rsid w:val="00c07c67"/>
    <w:pPr/>
    <w:rPr/>
  </w:style>
  <w:style w:type="numbering" w:styleId="NoList" w:default="1">
    <w:name w:val="No List"/>
    <w:uiPriority w:val="99"/>
    <w:semiHidden/>
    <w:unhideWhenUsed/>
    <w:qFormat/>
  </w:style>
  <w:style w:type="numbering" w:styleId="OutlineList3">
    <w:name w:val="Outline List 3"/>
    <w:qFormat/>
  </w:style>
  <w:style w:type="table" w:default="1" w:styleId="TableNormal">
    <w:name w:val="Normal Table"/>
    <w:uiPriority w:val="99"/>
    <w:semiHidden/>
    <w:unhideWhenUsed/>
    <w:tblPr>
      <w:tblCellMar>
        <w:top w:w="0" w:type="dxa"/>
        <w:left w:w="108" w:type="dxa"/>
        <w:bottom w:w="0" w:type="dxa"/>
        <w:right w:w="108" w:type="dxa"/>
      </w:tblCellMar>
    </w:tblPr>
  </w:style>
  <w:style w:type="table" w:styleId="TableGrid">
    <w:name w:val="Table Grid"/>
    <w:basedOn w:val="TableNormal"/>
    <w:uiPriority w:val="39"/>
    <w:rsid w:val="00ef27ad"/>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GridTable5Dark-Accent5">
    <w:name w:val="Grid Table 5 Dark Accent 5"/>
    <w:basedOn w:val="TableNormal"/>
    <w:uiPriority w:val="50"/>
    <w:rsid w:val="00ef27ad"/>
    <w:tblPr>
      <w:tblStyleRowBandSize w:val="1"/>
      <w:tblStyleColBandSize w:val="1"/>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EEAF6" w:themeFill="accent5" w:themeFillTint="33"/>
    </w:tcPr>
    <w:tblStylePr w:type="firstRow">
      <w:rPr>
        <w:b/>
        <w:bCs/>
        <w:color w:val="ffffff" w:themeColor="background1"/>
      </w:rPr>
      <w:tbl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5B9BD5" w:themeFill="accent5"/>
      </w:tcPr>
    </w:tblStylePr>
    <w:tblStylePr w:type="lastRow">
      <w:rPr>
        <w:b/>
        <w:bCs/>
        <w:color w:val="ffffff" w:themeColor="background1"/>
      </w:rPr>
      <w:tbl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5B9BD5" w:themeFill="accent5"/>
      </w:tcPr>
    </w:tblStylePr>
    <w:tblStylePr w:type="firstCol">
      <w:rPr>
        <w:b/>
        <w:bCs/>
        <w:color w:val="ffffff" w:themeColor="background1"/>
      </w:rPr>
      <w:tblPr/>
      <w:tcPr>
        <w:tcBorders>
          <w:top w:val="single" w:color="FFFFFF" w:themeColor="background1" w:sz="4" w:space="0"/>
          <w:left w:val="single" w:color="FFFFFF" w:themeColor="background1" w:sz="4" w:space="0"/>
          <w:bottom w:val="single" w:color="FFFFFF" w:themeColor="background1" w:sz="4" w:space="0"/>
          <w:insideV w:val="nil"/>
        </w:tcBorders>
        <w:shd w:val="clear" w:color="auto" w:fill="5B9BD5" w:themeFill="accent5"/>
      </w:tcPr>
    </w:tblStylePr>
    <w:tblStylePr w:type="lastCol">
      <w:rPr>
        <w:b/>
        <w:bCs/>
        <w:color w:val="ffffff" w:themeColor="background1"/>
      </w:rPr>
      <w:tblPr/>
      <w:tcPr>
        <w:tcBorders>
          <w:top w:val="single" w:color="FFFFFF" w:themeColor="background1" w:sz="4" w:space="0"/>
          <w:bottom w:val="single" w:color="FFFFFF" w:themeColor="background1" w:sz="4" w:space="0"/>
          <w:right w:val="single" w:color="FFFFFF" w:themeColor="background1" w:sz="4" w:space="0"/>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4-Accent1">
    <w:name w:val="Grid Table 4 Accent 1"/>
    <w:basedOn w:val="TableNormal"/>
    <w:uiPriority w:val="49"/>
    <w:rsid w:val="00ef27ad"/>
    <w:tblPr>
      <w:tblStyleRowBandSize w:val="1"/>
      <w:tblStyleColBandSize w:val="1"/>
      <w:tblBorders>
        <w:top w:val="single" w:color="8EAADB" w:themeColor="accent1" w:themeTint="99" w:sz="4" w:space="0"/>
        <w:left w:val="single" w:color="8EAADB" w:themeColor="accent1" w:themeTint="99" w:sz="4" w:space="0"/>
        <w:bottom w:val="single" w:color="8EAADB" w:themeColor="accent1" w:themeTint="99" w:sz="4" w:space="0"/>
        <w:right w:val="single" w:color="8EAADB" w:themeColor="accent1" w:themeTint="99" w:sz="4" w:space="0"/>
        <w:insideH w:val="single" w:color="8EAADB" w:themeColor="accent1" w:themeTint="99" w:sz="4" w:space="0"/>
        <w:insideV w:val="single" w:color="8EAADB" w:themeColor="accent1" w:themeTint="99" w:sz="4" w:space="0"/>
      </w:tblBorders>
    </w:tblPr>
    <w:tblStylePr w:type="firstRow">
      <w:rPr>
        <w:b/>
        <w:bCs/>
        <w:color w:val="ffffff" w:themeColor="background1"/>
      </w:rPr>
      <w:tblPr/>
      <w:tcPr>
        <w:tcBorders>
          <w:top w:val="single" w:color="4472C4" w:themeColor="accent1" w:sz="4" w:space="0"/>
          <w:left w:val="single" w:color="4472C4" w:themeColor="accent1" w:sz="4" w:space="0"/>
          <w:bottom w:val="single" w:color="4472C4" w:themeColor="accent1" w:sz="4" w:space="0"/>
          <w:right w:val="single" w:color="4472C4" w:themeColor="accent1" w:sz="4" w:space="0"/>
          <w:insideH w:val="nil"/>
          <w:insideV w:val="nil"/>
        </w:tcBorders>
        <w:shd w:val="clear" w:color="auto" w:fill="4472C4" w:themeFill="accent1"/>
      </w:tcPr>
    </w:tblStylePr>
    <w:tblStylePr w:type="lastRow">
      <w:rPr>
        <w:b/>
        <w:bCs/>
      </w:rPr>
      <w:tblPr/>
      <w:tcPr>
        <w:tcBorders>
          <w:top w:val="double" w:color="4472C4" w:themeColor="accent1" w:sz="4" w:space="0"/>
        </w:tcBorders>
      </w:tcPr>
    </w:tblStylePr>
    <w:tblStylePr w:type="firstCol">
      <w:rPr>
        <w:b/>
        <w:bCs/>
      </w:rPr>
      <w:tblPr/>
    </w:tblStylePr>
    <w:tblStylePr w:type="lastCol">
      <w:rPr>
        <w:b/>
        <w:bCs/>
      </w:rPr>
      <w:tbl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5">
    <w:name w:val="Grid Table 4 Accent 5"/>
    <w:basedOn w:val="TableNormal"/>
    <w:uiPriority w:val="49"/>
    <w:rsid w:val="00ef27ad"/>
    <w:tblPr>
      <w:tblStyleRowBandSize w:val="1"/>
      <w:tblStyleColBandSize w:val="1"/>
      <w:tblBorders>
        <w:top w:val="single" w:color="9CC2E5" w:themeColor="accent5" w:themeTint="99" w:sz="4" w:space="0"/>
        <w:left w:val="single" w:color="9CC2E5" w:themeColor="accent5" w:themeTint="99" w:sz="4" w:space="0"/>
        <w:bottom w:val="single" w:color="9CC2E5" w:themeColor="accent5" w:themeTint="99" w:sz="4" w:space="0"/>
        <w:right w:val="single" w:color="9CC2E5" w:themeColor="accent5" w:themeTint="99" w:sz="4" w:space="0"/>
        <w:insideH w:val="single" w:color="9CC2E5" w:themeColor="accent5" w:themeTint="99" w:sz="4" w:space="0"/>
        <w:insideV w:val="single" w:color="9CC2E5" w:themeColor="accent5" w:themeTint="99" w:sz="4" w:space="0"/>
      </w:tblBorders>
    </w:tblPr>
    <w:tblStylePr w:type="firstRow">
      <w:rPr>
        <w:b/>
        <w:bCs/>
        <w:color w:val="ffffff" w:themeColor="background1"/>
      </w:rPr>
      <w:tblPr/>
      <w:tcPr>
        <w:tcBorders>
          <w:top w:val="single" w:color="5B9BD5" w:themeColor="accent5" w:sz="4" w:space="0"/>
          <w:left w:val="single" w:color="5B9BD5" w:themeColor="accent5" w:sz="4" w:space="0"/>
          <w:bottom w:val="single" w:color="5B9BD5" w:themeColor="accent5" w:sz="4" w:space="0"/>
          <w:right w:val="single" w:color="5B9BD5" w:themeColor="accent5" w:sz="4" w:space="0"/>
          <w:insideH w:val="nil"/>
          <w:insideV w:val="nil"/>
        </w:tcBorders>
        <w:shd w:val="clear" w:color="auto" w:fill="5B9BD5" w:themeFill="accent5"/>
      </w:tcPr>
    </w:tblStylePr>
    <w:tblStylePr w:type="lastRow">
      <w:rPr>
        <w:b/>
        <w:bCs/>
      </w:rPr>
      <w:tblPr/>
      <w:tcPr>
        <w:tcBorders>
          <w:top w:val="double" w:color="5B9BD5" w:themeColor="accent5" w:sz="4" w:space="0"/>
        </w:tcBorders>
      </w:tcPr>
    </w:tblStylePr>
    <w:tblStylePr w:type="firstCol">
      <w:rPr>
        <w:b/>
        <w:bCs/>
      </w:rPr>
      <w:tblPr/>
    </w:tblStylePr>
    <w:tblStylePr w:type="lastCol">
      <w:rPr>
        <w:b/>
        <w:bCs/>
      </w:rPr>
      <w:tbl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numbering" Target="numbering.xml"/><Relationship Id="rId18" Type="http://schemas.openxmlformats.org/officeDocument/2006/relationships/customXml" Target="../customXml/item2.xml"/><Relationship Id="rId3" Type="http://schemas.openxmlformats.org/officeDocument/2006/relationships/image" Target="media/image2.png"/><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customXml" Target="../customXml/item1.xml"/><Relationship Id="rId2" Type="http://schemas.openxmlformats.org/officeDocument/2006/relationships/image" Target="media/image1.png"/><Relationship Id="rId16" Type="http://schemas.openxmlformats.org/officeDocument/2006/relationships/theme" Target="theme/theme1.xml"/><Relationship Id="rId20" Type="http://schemas.openxmlformats.org/officeDocument/2006/relationships/customXml" Target="../customXml/item4.xml"/><Relationship Id="rId1" Type="http://schemas.openxmlformats.org/officeDocument/2006/relationships/styles" Target="styles.xml"/><Relationship Id="rId6" Type="http://schemas.openxmlformats.org/officeDocument/2006/relationships/image" Target="media/image5.png"/><Relationship Id="rId11" Type="http://schemas.openxmlformats.org/officeDocument/2006/relationships/footer" Target="footer2.xml"/><Relationship Id="rId5" Type="http://schemas.openxmlformats.org/officeDocument/2006/relationships/image" Target="media/image4.png"/><Relationship Id="rId15" Type="http://schemas.openxmlformats.org/officeDocument/2006/relationships/settings" Target="settings.xml"/><Relationship Id="rId10" Type="http://schemas.openxmlformats.org/officeDocument/2006/relationships/footer" Target="footer1.xml"/><Relationship Id="rId19" Type="http://schemas.openxmlformats.org/officeDocument/2006/relationships/customXml" Target="../customXml/item3.xml"/><Relationship Id="rId4" Type="http://schemas.openxmlformats.org/officeDocument/2006/relationships/image" Target="media/image3.png"/><Relationship Id="rId9" Type="http://schemas.openxmlformats.org/officeDocument/2006/relationships/header" Target="header3.xml"/><Relationship Id="rId14" Type="http://schemas.openxmlformats.org/officeDocument/2006/relationships/fontTable" Target="fontTable.xml"/></Relationships>
</file>

<file path=word/_rels/header2.xml.rels><?xml version="1.0" encoding="UTF-8"?>
<Relationships xmlns="http://schemas.openxmlformats.org/package/2006/relationships"><Relationship Id="rId1" Type="http://schemas.openxmlformats.org/officeDocument/2006/relationships/image" Target="media/image6.tif"/>
</Relationships>
</file>

<file path=word/_rels/header3.xml.rels><?xml version="1.0" encoding="UTF-8"?>
<Relationships xmlns="http://schemas.openxmlformats.org/package/2006/relationships"><Relationship Id="rId1" Type="http://schemas.openxmlformats.org/officeDocument/2006/relationships/image" Target="media/image6.tif"/>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IAL2</b:Tag>
    <b:SourceType>Report</b:SourceType>
    <b:Guid>{09170EE3-D0E9-4ADB-B868-A78D29E1C72E}</b:Guid>
    <b:Author>
      <b:Author>
        <b:Corporate>IALA</b:Corporate>
      </b:Author>
    </b:Author>
    <b:Title>G1128 'The Specification of e-Navigation Technical Services'</b:Title>
    <b:RefOrder>4</b:RefOrder>
  </b:Source>
  <b:Source>
    <b:Tag>IAL</b:Tag>
    <b:SourceType>Report</b:SourceType>
    <b:Guid>{7D1A9042-7888-4DC4-A4AF-93175A7BB3BC}</b:Guid>
    <b:Title>G1183 'The provision of Maritime Connectivity Platform (MCP) identities'</b:Title>
    <b:Author>
      <b:Author>
        <b:Corporate>IALA</b:Corporate>
      </b:Author>
    </b:Author>
    <b:RefOrder>1</b:RefOrder>
  </b:Source>
  <b:Source>
    <b:Tag>IAL1</b:Tag>
    <b:SourceType>Report</b:SourceType>
    <b:Guid>{749D1D7D-615A-45D4-B170-33A35B399040}</b:Guid>
    <b:Author>
      <b:Author>
        <b:Corporate>IALA</b:Corporate>
      </b:Author>
    </b:Author>
    <b:Title>G1191 'Maritime Service Registry (MSR) – Technical Specification'</b:Title>
    <b:RefOrder>2</b:RefOrder>
  </b:Source>
  <b:Source>
    <b:Tag>IEC22</b:Tag>
    <b:SourceType>Report</b:SourceType>
    <b:Guid>{A28B6ECD-90CA-44C0-9468-FDDA584F964C}</b:Guid>
    <b:Author>
      <b:Author>
        <b:Corporate>IEC</b:Corporate>
      </b:Author>
    </b:Author>
    <b:Title>IEC 63173-2: Maritime navigation and radiocommunication equipment and systems - Data interfaces - Part 2: Secure communication between ship and shore (SECOM)</b:Title>
    <b:Year>2022</b:Year>
    <b:Publisher>IEC</b:Publisher>
    <b:RefOrder>3</b:RefOrder>
  </b:Source>
</b:Sources>
</file>

<file path=customXml/item2.xml><?xml version="1.0" encoding="utf-8"?>
<ct:contentTypeSchema xmlns:ct="http://schemas.microsoft.com/office/2006/metadata/contentType" xmlns:ma="http://schemas.microsoft.com/office/2006/metadata/properties/metaAttributes" ct:_="" ma:_="" ma:contentTypeName="Document" ma:contentTypeID="0x010100FB4C6AB7F4ADAA4ABC48D93214FE8FD2" ma:contentTypeVersion="19" ma:contentTypeDescription="Create a new document." ma:contentTypeScope="" ma:versionID="162a95b34499dfcba3d4d087491dcb69">
  <xsd:schema xmlns:xsd="http://www.w3.org/2001/XMLSchema" xmlns:xs="http://www.w3.org/2001/XMLSchema" xmlns:p="http://schemas.microsoft.com/office/2006/metadata/properties" xmlns:ns2="ac5f8115-f13f-4d01-aff4-515a67108c33" xmlns:ns3="06022411-6e02-423b-85fd-39e0748b9219" targetNamespace="http://schemas.microsoft.com/office/2006/metadata/properties" ma:root="true" ma:fieldsID="9ed99f5dcfcd79d7f094ea2c76bbddca" ns2:_="" ns3:_="">
    <xsd:import namespace="ac5f8115-f13f-4d01-aff4-515a67108c33"/>
    <xsd:import namespace="06022411-6e02-423b-85fd-39e0748b921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5f8115-f13f-4d01-aff4-515a67108c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1604d76-ecdf-464b-8720-89396eb59a6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6022411-6e02-423b-85fd-39e0748b921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ff2b8b40-6d33-49af-abef-1171a80bfd6f}" ma:internalName="TaxCatchAll" ma:showField="CatchAllData" ma:web="06022411-6e02-423b-85fd-39e0748b921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c5f8115-f13f-4d01-aff4-515a67108c33">
      <Terms xmlns="http://schemas.microsoft.com/office/infopath/2007/PartnerControls"/>
    </lcf76f155ced4ddcb4097134ff3c332f>
    <TaxCatchAll xmlns="06022411-6e02-423b-85fd-39e0748b9219" xsi:nil="true"/>
  </documentManagement>
</p:properties>
</file>

<file path=customXml/itemProps1.xml><?xml version="1.0" encoding="utf-8"?>
<ds:datastoreItem xmlns:ds="http://schemas.openxmlformats.org/officeDocument/2006/customXml" ds:itemID="{BADA4AEF-0833-4E20-8D96-95E50B7A4F15}">
  <ds:schemaRefs>
    <ds:schemaRef ds:uri="http://schemas.openxmlformats.org/officeDocument/2006/bibliography"/>
  </ds:schemaRefs>
</ds:datastoreItem>
</file>

<file path=customXml/itemProps2.xml><?xml version="1.0" encoding="utf-8"?>
<ds:datastoreItem xmlns:ds="http://schemas.openxmlformats.org/officeDocument/2006/customXml" ds:itemID="{AA518154-6850-46D6-B1B2-9AD48A8DD4D0}"/>
</file>

<file path=customXml/itemProps3.xml><?xml version="1.0" encoding="utf-8"?>
<ds:datastoreItem xmlns:ds="http://schemas.openxmlformats.org/officeDocument/2006/customXml" ds:itemID="{AF80E53E-8D44-4FF0-9058-4B2F2FEE6B97}"/>
</file>

<file path=customXml/itemProps4.xml><?xml version="1.0" encoding="utf-8"?>
<ds:datastoreItem xmlns:ds="http://schemas.openxmlformats.org/officeDocument/2006/customXml" ds:itemID="{3CA71B7E-6B7B-4664-8B96-CE8B3369EA4F}"/>
</file>

<file path=docProps/app.xml><?xml version="1.0" encoding="utf-8"?>
<Properties xmlns="http://schemas.openxmlformats.org/officeDocument/2006/extended-properties" xmlns:vt="http://schemas.openxmlformats.org/officeDocument/2006/docPropsVTypes">
  <Template>Normal</Template>
  <TotalTime>364</TotalTime>
  <Application>LibreOffice/25.8.4.2$MacOSX_AARCH64 LibreOffice_project/290daaa01b999472f0c7a3890eb6a550fd74c6df</Application>
  <AppVersion>15.0000</AppVersion>
  <Pages>11</Pages>
  <Words>2897</Words>
  <Characters>15170</Characters>
  <CharactersWithSpaces>17797</CharactersWithSpaces>
  <Paragraphs>183</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Wim</dc:creator>
  <dc:description/>
  <cp:lastModifiedBy>Thomas Christensen</cp:lastModifiedBy>
  <cp:revision>28</cp:revision>
  <dcterms:created xsi:type="dcterms:W3CDTF">2025-09-02T08:42:00Z</dcterms:created>
  <dcterms:modified xsi:type="dcterms:W3CDTF">2026-02-18T16:53:56Z</dcterms:modified>
  <dc:language>en-GB</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0x010100FB4C6AB7F4ADAA4ABC48D93214FE8FD2</vt:lpwstr>
  </property>
</Properties>
</file>